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49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</w:tblGrid>
      <w:tr w:rsidR="005316CD" w:rsidRPr="00292D85" w:rsidTr="00093E52">
        <w:trPr>
          <w:trHeight w:val="405"/>
        </w:trPr>
        <w:tc>
          <w:tcPr>
            <w:tcW w:w="1450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292D85" w:rsidRDefault="005316CD" w:rsidP="00F056B2">
            <w:pPr>
              <w:spacing w:after="0"/>
              <w:jc w:val="center"/>
              <w:rPr>
                <w:rFonts w:ascii="Gill Sans MT" w:hAnsi="Gill Sans MT"/>
                <w:i/>
                <w:sz w:val="28"/>
                <w:u w:val="single"/>
              </w:rPr>
            </w:pPr>
            <w:r w:rsidRPr="00292D85">
              <w:rPr>
                <w:i/>
                <w:u w:val="single"/>
              </w:rPr>
              <w:t>All SLOs MUST include the following basic components:</w:t>
            </w:r>
          </w:p>
        </w:tc>
      </w:tr>
      <w:tr w:rsidR="005316CD" w:rsidRPr="00292D85" w:rsidTr="00906EA5">
        <w:trPr>
          <w:trHeight w:val="86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94B6F" w:rsidRDefault="00094B6F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Student </w:t>
            </w:r>
          </w:p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Default="005316CD" w:rsidP="00906EA5">
            <w:pPr>
              <w:rPr>
                <w:i/>
                <w:sz w:val="20"/>
              </w:rPr>
            </w:pPr>
            <w:r w:rsidRPr="00292D85">
              <w:rPr>
                <w:i/>
                <w:sz w:val="20"/>
              </w:rPr>
              <w:t xml:space="preserve">These are the students assigned to the course section(s) in this </w:t>
            </w:r>
            <w:r w:rsidR="00D3060D">
              <w:rPr>
                <w:i/>
                <w:sz w:val="20"/>
              </w:rPr>
              <w:t>achievement target</w:t>
            </w:r>
            <w:r w:rsidRPr="00292D85">
              <w:rPr>
                <w:i/>
                <w:sz w:val="20"/>
              </w:rPr>
              <w:t xml:space="preserve"> - all students who are assigned to the course section(s) must be included in the </w:t>
            </w:r>
            <w:r w:rsidR="00D3060D">
              <w:rPr>
                <w:i/>
                <w:sz w:val="20"/>
              </w:rPr>
              <w:t>target</w:t>
            </w:r>
            <w:r w:rsidRPr="00292D85">
              <w:rPr>
                <w:i/>
                <w:sz w:val="20"/>
              </w:rPr>
              <w:t>. (Full class rosters of all students must be provided for all included course sections.)</w:t>
            </w:r>
          </w:p>
          <w:p w:rsidR="005316CD" w:rsidRDefault="00D3060D" w:rsidP="004462A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Course:</w:t>
            </w:r>
            <w:r w:rsidR="000A6099" w:rsidRPr="000E2D8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Grade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r w:rsidR="000A6099" w:rsidRPr="000E2D8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ELA </w:t>
            </w:r>
            <w:r w:rsidR="000E2D81" w:rsidRPr="000E2D8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with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47</w:t>
            </w:r>
            <w:r w:rsidR="000E2D81" w:rsidRPr="000E2D8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0A6099" w:rsidRPr="000E2D81">
              <w:rPr>
                <w:rFonts w:ascii="Arial" w:hAnsi="Arial" w:cs="Arial"/>
                <w:b/>
                <w:color w:val="000000"/>
                <w:sz w:val="24"/>
                <w:szCs w:val="24"/>
              </w:rPr>
              <w:t>students (see attached roster)</w:t>
            </w:r>
          </w:p>
          <w:p w:rsidR="003C1358" w:rsidRDefault="003C1358" w:rsidP="004462A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C1358" w:rsidRPr="000E2D81" w:rsidRDefault="003C1358" w:rsidP="004462A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Includes </w:t>
            </w:r>
            <w:r w:rsidR="00D3060D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general education teachers and 1 consultant teacher</w:t>
            </w:r>
          </w:p>
          <w:p w:rsidR="005316CD" w:rsidRPr="00E10A04" w:rsidRDefault="005316CD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Learning Content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A335E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 xml:space="preserve">What is being taught over the instructional period covered?  </w:t>
            </w:r>
            <w:smartTag w:uri="urn:schemas-microsoft-com:office:smarttags" w:element="place"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Common</w:t>
                </w:r>
              </w:smartTag>
              <w:r w:rsidRPr="00292D85">
                <w:rPr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Core</w:t>
                </w:r>
              </w:smartTag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/National/</w:t>
                </w:r>
              </w:smartTag>
              <w:smartTag w:uri="urn:schemas-microsoft-com:office:smarttags" w:element="PlaceType">
                <w:r w:rsidRPr="00292D85">
                  <w:rPr>
                    <w:i/>
                    <w:sz w:val="20"/>
                    <w:szCs w:val="20"/>
                  </w:rPr>
                  <w:t>State</w:t>
                </w:r>
              </w:smartTag>
            </w:smartTag>
            <w:r w:rsidRPr="00292D85">
              <w:rPr>
                <w:i/>
                <w:sz w:val="20"/>
                <w:szCs w:val="20"/>
              </w:rPr>
              <w:t xml:space="preserve"> standards? Will this goal apply to all standards applicable to a course or just </w:t>
            </w:r>
            <w:proofErr w:type="gramStart"/>
            <w:r w:rsidRPr="00292D85">
              <w:rPr>
                <w:i/>
                <w:sz w:val="20"/>
                <w:szCs w:val="20"/>
              </w:rPr>
              <w:t>to</w:t>
            </w:r>
            <w:proofErr w:type="gramEnd"/>
            <w:r w:rsidRPr="00292D85">
              <w:rPr>
                <w:i/>
                <w:sz w:val="20"/>
                <w:szCs w:val="20"/>
              </w:rPr>
              <w:t xml:space="preserve"> specific priority standards? </w:t>
            </w:r>
          </w:p>
          <w:p w:rsidR="005316CD" w:rsidRPr="000E2D81" w:rsidRDefault="00D3060D" w:rsidP="00906E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Course: Grade 6 </w:t>
            </w:r>
            <w:r w:rsidR="000A6099" w:rsidRPr="000E2D81">
              <w:rPr>
                <w:b/>
                <w:i/>
                <w:sz w:val="24"/>
                <w:szCs w:val="24"/>
              </w:rPr>
              <w:t>ELA</w:t>
            </w:r>
          </w:p>
          <w:p w:rsidR="005316CD" w:rsidRPr="00E10A04" w:rsidRDefault="000A6099" w:rsidP="00D306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D81">
              <w:rPr>
                <w:b/>
                <w:i/>
                <w:sz w:val="24"/>
                <w:szCs w:val="24"/>
              </w:rPr>
              <w:t xml:space="preserve">Source of Standards: Common Core Learning Standards – </w:t>
            </w:r>
            <w:r w:rsidR="00CD0420">
              <w:rPr>
                <w:b/>
                <w:i/>
                <w:sz w:val="24"/>
                <w:szCs w:val="24"/>
              </w:rPr>
              <w:t xml:space="preserve">(Reading and </w:t>
            </w:r>
            <w:r w:rsidR="00D3060D">
              <w:rPr>
                <w:b/>
                <w:i/>
                <w:sz w:val="24"/>
                <w:szCs w:val="24"/>
              </w:rPr>
              <w:t>Language at grade 6</w:t>
            </w:r>
            <w:r w:rsidR="000E2D81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316CD" w:rsidRPr="00292D85" w:rsidTr="00906EA5">
        <w:trPr>
          <w:trHeight w:val="915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Interval of Instructional Time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instructional period covered (if not a year, rationale for semester/quarter/etc)?</w:t>
            </w:r>
          </w:p>
          <w:p w:rsidR="005316CD" w:rsidRPr="0091480C" w:rsidRDefault="000A6099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1480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One year (September 24, 2012 – May </w:t>
            </w:r>
            <w:r w:rsidR="00F36A36" w:rsidRPr="0091480C">
              <w:rPr>
                <w:rFonts w:ascii="Arial" w:hAnsi="Arial" w:cs="Arial"/>
                <w:b/>
                <w:color w:val="000000"/>
                <w:sz w:val="24"/>
                <w:szCs w:val="24"/>
              </w:rPr>
              <w:t>31, 2013</w:t>
            </w:r>
          </w:p>
          <w:p w:rsidR="00094B6F" w:rsidRPr="00E10A04" w:rsidRDefault="00094B6F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952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Evidence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055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What specific assessment(s) will be used to measure this goal? The assessment must align to the learning content of the course.</w:t>
            </w:r>
          </w:p>
          <w:p w:rsidR="00D3060D" w:rsidRDefault="00D3060D" w:rsidP="00906E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Last year’s grade 5 window 3 evidence results from May 2012 to inform teacher of regression over summer time</w:t>
            </w:r>
            <w:r w:rsidR="00184809">
              <w:rPr>
                <w:b/>
                <w:i/>
                <w:sz w:val="24"/>
                <w:szCs w:val="24"/>
              </w:rPr>
              <w:t xml:space="preserve"> and State ELA Assessment in Grade 5</w:t>
            </w:r>
          </w:p>
          <w:p w:rsidR="005316CD" w:rsidRDefault="0091480C" w:rsidP="00906E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Pre-Assessment:  </w:t>
            </w:r>
            <w:proofErr w:type="spellStart"/>
            <w:r w:rsidR="000E2D81" w:rsidRPr="0091480C">
              <w:rPr>
                <w:b/>
                <w:i/>
                <w:sz w:val="24"/>
                <w:szCs w:val="24"/>
              </w:rPr>
              <w:t>iReady</w:t>
            </w:r>
            <w:proofErr w:type="spellEnd"/>
            <w:r w:rsidR="000E2D81" w:rsidRPr="0091480C">
              <w:rPr>
                <w:b/>
                <w:i/>
                <w:sz w:val="24"/>
                <w:szCs w:val="24"/>
              </w:rPr>
              <w:t xml:space="preserve"> </w:t>
            </w:r>
            <w:r w:rsidR="00D3060D">
              <w:rPr>
                <w:b/>
                <w:i/>
                <w:sz w:val="24"/>
                <w:szCs w:val="24"/>
              </w:rPr>
              <w:t>Reading Profiles (window 1 in September 2012)</w:t>
            </w:r>
          </w:p>
          <w:p w:rsidR="0091480C" w:rsidRDefault="0091480C" w:rsidP="00906E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Summative Assessment: </w:t>
            </w:r>
            <w:proofErr w:type="spellStart"/>
            <w:r>
              <w:rPr>
                <w:b/>
                <w:i/>
                <w:sz w:val="24"/>
                <w:szCs w:val="24"/>
              </w:rPr>
              <w:t>iReady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Reading Profiles (window 3</w:t>
            </w:r>
            <w:r w:rsidR="00D3060D">
              <w:rPr>
                <w:b/>
                <w:i/>
                <w:sz w:val="24"/>
                <w:szCs w:val="24"/>
              </w:rPr>
              <w:t xml:space="preserve"> in May 2013</w:t>
            </w:r>
            <w:r>
              <w:rPr>
                <w:b/>
                <w:i/>
                <w:sz w:val="24"/>
                <w:szCs w:val="24"/>
              </w:rPr>
              <w:t>)</w:t>
            </w:r>
          </w:p>
          <w:p w:rsidR="005316CD" w:rsidRDefault="0091480C" w:rsidP="00906E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Offers accommodations as legally require and appropriate for IEPs and 504 plans</w:t>
            </w:r>
          </w:p>
          <w:p w:rsidR="0091480C" w:rsidRPr="0091480C" w:rsidRDefault="0091480C" w:rsidP="00906EA5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iReady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software does the scoring and computation; therefore, ensures that those with vested interest are not scoring summative assessments</w:t>
            </w:r>
          </w:p>
          <w:p w:rsidR="005316CD" w:rsidRDefault="005316CD" w:rsidP="004462A2">
            <w:pPr>
              <w:pStyle w:val="ListParagraph"/>
              <w:spacing w:after="0" w:line="240" w:lineRule="auto"/>
              <w:ind w:left="28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D0420" w:rsidRPr="000551D7" w:rsidRDefault="00CD0420" w:rsidP="004462A2">
            <w:pPr>
              <w:pStyle w:val="ListParagraph"/>
              <w:spacing w:after="0" w:line="240" w:lineRule="auto"/>
              <w:ind w:left="28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1104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Baseline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starting level of students’ knowledge of the learning content at the beginning of the instructional period?</w:t>
            </w:r>
          </w:p>
          <w:p w:rsidR="00184809" w:rsidRPr="00B81004" w:rsidRDefault="00D3060D" w:rsidP="00D3060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(see chart below)</w:t>
            </w: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Default="005316CD" w:rsidP="00094B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Target(s) </w:t>
            </w:r>
          </w:p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Default="005316CD" w:rsidP="00736D27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expected outcome (target) of students’ level of knowledge of the learning content at the end of the instructional period?</w:t>
            </w:r>
          </w:p>
          <w:p w:rsidR="00093E52" w:rsidRDefault="00F10A48" w:rsidP="00906E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="000E2D81" w:rsidRPr="0091480C">
              <w:rPr>
                <w:b/>
                <w:i/>
                <w:sz w:val="24"/>
                <w:szCs w:val="24"/>
              </w:rPr>
              <w:t>See next page for roster, pre-test score, and target score</w:t>
            </w:r>
            <w:r>
              <w:rPr>
                <w:b/>
                <w:i/>
                <w:sz w:val="24"/>
                <w:szCs w:val="24"/>
              </w:rPr>
              <w:t xml:space="preserve">) A </w:t>
            </w:r>
            <w:r w:rsidR="00133BF5">
              <w:rPr>
                <w:b/>
                <w:i/>
                <w:sz w:val="24"/>
                <w:szCs w:val="24"/>
              </w:rPr>
              <w:t>differentiated growth target will be set per raw score range.</w:t>
            </w:r>
          </w:p>
          <w:p w:rsidR="00B81004" w:rsidRDefault="00B81004" w:rsidP="00B810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Group 1 = Raw Scores in the range of 350—400 will increase their raw scores by 60 points</w:t>
            </w:r>
          </w:p>
          <w:p w:rsidR="00B81004" w:rsidRDefault="00B81004" w:rsidP="00B810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Group 2 = Raw Scores in range of 401-530 will increase their raw scores by 80 points</w:t>
            </w:r>
          </w:p>
          <w:p w:rsidR="00B81004" w:rsidRDefault="00B81004" w:rsidP="00B810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Group 3 = Raw Scores in range of 531-629 will increase their raw scores by 90 points</w:t>
            </w:r>
          </w:p>
          <w:p w:rsidR="00B81004" w:rsidRDefault="00B81004" w:rsidP="00B810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Group 4 = Raw Scores in range of 630 or higher will increase their raw scores by 100 points</w:t>
            </w:r>
          </w:p>
          <w:p w:rsidR="00B81004" w:rsidRDefault="00B81004" w:rsidP="00B81004">
            <w:pPr>
              <w:rPr>
                <w:b/>
                <w:i/>
                <w:sz w:val="24"/>
                <w:szCs w:val="24"/>
              </w:rPr>
            </w:pPr>
            <w:r w:rsidRPr="00B81004">
              <w:rPr>
                <w:b/>
                <w:i/>
                <w:color w:val="FF0000"/>
                <w:sz w:val="24"/>
                <w:szCs w:val="24"/>
              </w:rPr>
              <w:t>(Entry level scale score for grade 6 is estimated at 630 and entry level scale score for grade 7 is 650 – these are guestimates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being used for this sample template</w:t>
            </w:r>
            <w:r w:rsidRPr="00B81004">
              <w:rPr>
                <w:b/>
                <w:i/>
                <w:color w:val="FF0000"/>
                <w:sz w:val="24"/>
                <w:szCs w:val="24"/>
              </w:rPr>
              <w:t>)</w:t>
            </w:r>
          </w:p>
          <w:p w:rsidR="00CD0420" w:rsidRPr="00CD0420" w:rsidRDefault="003C1358" w:rsidP="00B810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</w:t>
            </w:r>
            <w:r w:rsidR="00CD0420">
              <w:rPr>
                <w:b/>
                <w:i/>
                <w:sz w:val="24"/>
                <w:szCs w:val="24"/>
              </w:rPr>
              <w:t xml:space="preserve">% of students, including special education populations will </w:t>
            </w:r>
            <w:r w:rsidR="00B81004">
              <w:rPr>
                <w:b/>
                <w:i/>
                <w:sz w:val="24"/>
                <w:szCs w:val="24"/>
              </w:rPr>
              <w:t>increase raw scores based on group differentiated growth target</w:t>
            </w:r>
            <w:r w:rsidR="00CD0420">
              <w:rPr>
                <w:b/>
                <w:i/>
                <w:sz w:val="24"/>
                <w:szCs w:val="24"/>
              </w:rPr>
              <w:t xml:space="preserve"> or </w:t>
            </w:r>
            <w:r w:rsidR="00B81004">
              <w:rPr>
                <w:b/>
                <w:i/>
                <w:sz w:val="24"/>
                <w:szCs w:val="24"/>
              </w:rPr>
              <w:t>exceed target</w:t>
            </w:r>
            <w:r w:rsidR="00CD0420">
              <w:rPr>
                <w:b/>
                <w:i/>
                <w:sz w:val="24"/>
                <w:szCs w:val="24"/>
              </w:rPr>
              <w:t xml:space="preserve"> on the their summative assessment (window 3 which is final testin</w:t>
            </w:r>
            <w:r w:rsidR="00B81004">
              <w:rPr>
                <w:b/>
                <w:i/>
                <w:sz w:val="24"/>
                <w:szCs w:val="24"/>
              </w:rPr>
              <w:t>g period) compared to their pre-assessment window 1 for grade 6.</w:t>
            </w:r>
          </w:p>
        </w:tc>
      </w:tr>
      <w:tr w:rsidR="005316CD" w:rsidRPr="00292D85" w:rsidTr="00CE463B">
        <w:trPr>
          <w:trHeight w:val="1557"/>
        </w:trPr>
        <w:tc>
          <w:tcPr>
            <w:tcW w:w="20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HEDI Scoring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Default="005316CD" w:rsidP="00093E52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How will evaluators determine what range of student performance “meets” the goal (effective) versus “well-below” (ineffective), “below” (developing), and “well-above” (highly effective)?</w:t>
            </w:r>
          </w:p>
          <w:p w:rsidR="00F056B2" w:rsidRDefault="007D3C7F" w:rsidP="00093E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HEDI set by ABC </w:t>
            </w:r>
            <w:bookmarkStart w:id="0" w:name="_GoBack"/>
            <w:bookmarkEnd w:id="0"/>
            <w:r w:rsidR="00CD0420" w:rsidRPr="00CD0420">
              <w:rPr>
                <w:b/>
                <w:i/>
                <w:sz w:val="24"/>
                <w:szCs w:val="24"/>
              </w:rPr>
              <w:t>District</w:t>
            </w:r>
          </w:p>
          <w:p w:rsidR="00F10A48" w:rsidRDefault="003C1358" w:rsidP="00F10A48">
            <w:pPr>
              <w:pStyle w:val="NoSpacing"/>
            </w:pPr>
            <w:r>
              <w:t xml:space="preserve">High Effective = 85% of students or more will meet or exceed their target goal on the </w:t>
            </w:r>
            <w:r w:rsidR="00F10A48">
              <w:t>summative assessment.</w:t>
            </w:r>
          </w:p>
          <w:p w:rsidR="003C1358" w:rsidRDefault="003C1358" w:rsidP="00F10A48">
            <w:pPr>
              <w:pStyle w:val="NoSpacing"/>
            </w:pPr>
            <w:r>
              <w:t xml:space="preserve">Effective = 67%-84% of students will meet or exceed their target goal on the summative </w:t>
            </w:r>
            <w:r w:rsidR="00F10A48">
              <w:t>assessment</w:t>
            </w:r>
            <w:r>
              <w:t>.</w:t>
            </w:r>
          </w:p>
          <w:p w:rsidR="00F10A48" w:rsidRDefault="00F10A48" w:rsidP="00F10A48">
            <w:pPr>
              <w:pStyle w:val="NoSpacing"/>
            </w:pPr>
            <w:r>
              <w:t>Development = 49%-66% of students will meet or exceed their target goal on the summative assessment</w:t>
            </w:r>
          </w:p>
          <w:p w:rsidR="003C1358" w:rsidRPr="00F10A48" w:rsidRDefault="00F10A48" w:rsidP="00093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Ineffective = 0-48% of students or fewer will meet or exceed their target goal on the summative assessment</w:t>
            </w:r>
          </w:p>
          <w:p w:rsidR="00F056B2" w:rsidRPr="00093E52" w:rsidRDefault="00F10A48" w:rsidP="00F056B2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(35 out of 46 students earn target goal of 75% then teacher will earn HEDI score of 13 points)</w:t>
            </w:r>
          </w:p>
        </w:tc>
      </w:tr>
      <w:tr w:rsidR="005316CD" w:rsidRPr="00292D85" w:rsidTr="008A6B39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HIGHLY EFFECTIVE</w:t>
            </w:r>
          </w:p>
        </w:tc>
        <w:tc>
          <w:tcPr>
            <w:tcW w:w="53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EFFECTIVE</w:t>
            </w:r>
          </w:p>
        </w:tc>
        <w:tc>
          <w:tcPr>
            <w:tcW w:w="35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szCs w:val="20"/>
              </w:rPr>
              <w:t>DEVELOPING</w:t>
            </w:r>
          </w:p>
        </w:tc>
        <w:tc>
          <w:tcPr>
            <w:tcW w:w="1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000000"/>
                <w:szCs w:val="20"/>
              </w:rPr>
              <w:t>INEFFECTIVE</w:t>
            </w:r>
          </w:p>
        </w:tc>
      </w:tr>
      <w:tr w:rsidR="005316CD" w:rsidRPr="00292D85" w:rsidTr="00982347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54459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4459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316CD" w:rsidRPr="00292D85" w:rsidTr="00906EA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F10A4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96-100%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F10A48" w:rsidP="00446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91-95%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F10A4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85-90%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F10A4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83-84%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F10A4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81-82%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F10A4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79-80%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F10A4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77-78%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F10A4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75%-76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F10A4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73-74%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F10A4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71-72%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F10A4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69-70%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F10A4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67-68%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F10A4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64-66%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F10A4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61-63%</w:t>
            </w:r>
            <w:r w:rsidR="005316CD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F10A4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58-60%</w:t>
            </w:r>
            <w:r w:rsidR="005316CD"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F10A4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55-57%</w:t>
            </w:r>
            <w:r w:rsidR="005316CD"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F10A4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52-54&amp;</w:t>
            </w:r>
            <w:r w:rsidR="005316CD"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F10A4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49-51%</w:t>
            </w:r>
            <w:r w:rsidR="005316CD"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F10A48" w:rsidP="00446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40-48%</w:t>
            </w:r>
            <w:r w:rsidR="005316CD"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F10A4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30-39%</w:t>
            </w:r>
            <w:r w:rsidR="005316CD"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E10A04" w:rsidRDefault="00F10A48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38-0%</w:t>
            </w:r>
            <w:r w:rsidR="005316CD">
              <w:rPr>
                <w:rFonts w:ascii="Arial" w:hAnsi="Arial" w:cs="Arial"/>
                <w:color w:val="000000"/>
                <w:sz w:val="18"/>
                <w:szCs w:val="28"/>
              </w:rPr>
              <w:t xml:space="preserve"> </w:t>
            </w:r>
          </w:p>
        </w:tc>
      </w:tr>
      <w:tr w:rsidR="005316CD" w:rsidRPr="00292D85" w:rsidTr="00CE463B">
        <w:trPr>
          <w:trHeight w:val="3663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Rationale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Describe the reasoning behind the choices regarding learning content, evidence, and target and how they will be used together to prepare students for future growth and development in subsequent grades/courses, as well as college and career readiness.</w:t>
            </w:r>
          </w:p>
          <w:p w:rsidR="00CD0420" w:rsidRPr="009B23F8" w:rsidRDefault="00154BD1" w:rsidP="00906EA5">
            <w:pPr>
              <w:rPr>
                <w:b/>
                <w:i/>
                <w:sz w:val="24"/>
                <w:szCs w:val="20"/>
              </w:rPr>
            </w:pPr>
            <w:proofErr w:type="spellStart"/>
            <w:r w:rsidRPr="009B23F8">
              <w:rPr>
                <w:b/>
                <w:i/>
                <w:sz w:val="24"/>
                <w:szCs w:val="20"/>
              </w:rPr>
              <w:t>iReady</w:t>
            </w:r>
            <w:proofErr w:type="spellEnd"/>
            <w:r w:rsidRPr="009B23F8">
              <w:rPr>
                <w:b/>
                <w:i/>
                <w:sz w:val="24"/>
                <w:szCs w:val="20"/>
              </w:rPr>
              <w:t xml:space="preserve"> focuses on the following learning content:</w:t>
            </w:r>
          </w:p>
          <w:p w:rsidR="00154BD1" w:rsidRPr="009B23F8" w:rsidRDefault="00154BD1" w:rsidP="00154BD1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sz w:val="24"/>
                <w:szCs w:val="20"/>
              </w:rPr>
            </w:pPr>
            <w:r w:rsidRPr="009B23F8">
              <w:rPr>
                <w:b/>
                <w:i/>
                <w:sz w:val="24"/>
                <w:szCs w:val="20"/>
              </w:rPr>
              <w:t>CCLS Reading Foundations; phonics</w:t>
            </w:r>
          </w:p>
          <w:p w:rsidR="00154BD1" w:rsidRPr="009B23F8" w:rsidRDefault="00154BD1" w:rsidP="00154BD1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sz w:val="24"/>
                <w:szCs w:val="20"/>
              </w:rPr>
            </w:pPr>
            <w:r w:rsidRPr="009B23F8">
              <w:rPr>
                <w:b/>
                <w:i/>
                <w:sz w:val="24"/>
                <w:szCs w:val="20"/>
              </w:rPr>
              <w:t>CCLS Reading Literature and Informational Text</w:t>
            </w:r>
          </w:p>
          <w:p w:rsidR="00154BD1" w:rsidRPr="009B23F8" w:rsidRDefault="00154BD1" w:rsidP="00154BD1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sz w:val="24"/>
                <w:szCs w:val="20"/>
              </w:rPr>
            </w:pPr>
            <w:r w:rsidRPr="009B23F8">
              <w:rPr>
                <w:b/>
                <w:i/>
                <w:sz w:val="24"/>
                <w:szCs w:val="20"/>
              </w:rPr>
              <w:t>CCLS Language</w:t>
            </w:r>
          </w:p>
          <w:p w:rsidR="00154BD1" w:rsidRPr="009B23F8" w:rsidRDefault="00154BD1" w:rsidP="00154BD1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sz w:val="24"/>
                <w:szCs w:val="20"/>
              </w:rPr>
            </w:pPr>
            <w:r w:rsidRPr="009B23F8">
              <w:rPr>
                <w:b/>
                <w:i/>
                <w:sz w:val="24"/>
                <w:szCs w:val="20"/>
              </w:rPr>
              <w:t>Academic Vocabulary recognition and meaning</w:t>
            </w:r>
          </w:p>
          <w:p w:rsidR="00154BD1" w:rsidRPr="009B23F8" w:rsidRDefault="00154BD1" w:rsidP="00154BD1">
            <w:pPr>
              <w:pStyle w:val="ListParagraph"/>
              <w:rPr>
                <w:b/>
                <w:i/>
                <w:sz w:val="24"/>
                <w:szCs w:val="20"/>
              </w:rPr>
            </w:pPr>
          </w:p>
          <w:p w:rsidR="00154BD1" w:rsidRPr="009B23F8" w:rsidRDefault="00154BD1" w:rsidP="00154BD1">
            <w:pPr>
              <w:rPr>
                <w:b/>
                <w:i/>
                <w:sz w:val="24"/>
                <w:szCs w:val="20"/>
              </w:rPr>
            </w:pPr>
            <w:r w:rsidRPr="009B23F8">
              <w:rPr>
                <w:b/>
                <w:i/>
                <w:sz w:val="24"/>
                <w:szCs w:val="20"/>
              </w:rPr>
              <w:t xml:space="preserve">The evidence will measure student progress in learning how to read and apply contextual clues </w:t>
            </w:r>
            <w:r w:rsidR="009B23F8" w:rsidRPr="009B23F8">
              <w:rPr>
                <w:b/>
                <w:i/>
                <w:sz w:val="24"/>
                <w:szCs w:val="20"/>
              </w:rPr>
              <w:t>in learning</w:t>
            </w:r>
            <w:r w:rsidRPr="009B23F8">
              <w:rPr>
                <w:b/>
                <w:i/>
                <w:sz w:val="24"/>
                <w:szCs w:val="20"/>
              </w:rPr>
              <w:t xml:space="preserve"> vocabulary.</w:t>
            </w:r>
            <w:r w:rsidR="009B23F8" w:rsidRPr="009B23F8">
              <w:rPr>
                <w:b/>
                <w:i/>
                <w:sz w:val="24"/>
                <w:szCs w:val="20"/>
              </w:rPr>
              <w:t xml:space="preserve"> Learning content will prepare students for future work in ELA</w:t>
            </w:r>
            <w:r w:rsidR="00D3060D">
              <w:rPr>
                <w:b/>
                <w:i/>
                <w:sz w:val="24"/>
                <w:szCs w:val="20"/>
              </w:rPr>
              <w:t>.</w:t>
            </w:r>
            <w:r w:rsidR="00184809">
              <w:rPr>
                <w:b/>
                <w:i/>
                <w:sz w:val="24"/>
                <w:szCs w:val="20"/>
              </w:rPr>
              <w:t xml:space="preserve">  A greater emphasis on reading texts that are more complex during regular instruction will support student learning and improved proficiency on </w:t>
            </w:r>
            <w:proofErr w:type="spellStart"/>
            <w:r w:rsidR="00184809">
              <w:rPr>
                <w:b/>
                <w:i/>
                <w:sz w:val="24"/>
                <w:szCs w:val="20"/>
              </w:rPr>
              <w:t>iReady</w:t>
            </w:r>
            <w:proofErr w:type="spellEnd"/>
            <w:r w:rsidR="00184809">
              <w:rPr>
                <w:b/>
                <w:i/>
                <w:sz w:val="24"/>
                <w:szCs w:val="20"/>
              </w:rPr>
              <w:t xml:space="preserve"> assessment.  The </w:t>
            </w:r>
            <w:proofErr w:type="spellStart"/>
            <w:r w:rsidR="00184809">
              <w:rPr>
                <w:b/>
                <w:i/>
                <w:sz w:val="24"/>
                <w:szCs w:val="20"/>
              </w:rPr>
              <w:t>iReady</w:t>
            </w:r>
            <w:proofErr w:type="spellEnd"/>
            <w:r w:rsidR="00184809">
              <w:rPr>
                <w:b/>
                <w:i/>
                <w:sz w:val="24"/>
                <w:szCs w:val="20"/>
              </w:rPr>
              <w:t xml:space="preserve"> data points will inform inquiry team and students’ progress toward achievement on the State assessment</w:t>
            </w:r>
          </w:p>
          <w:p w:rsidR="00154BD1" w:rsidRPr="009B23F8" w:rsidRDefault="00154BD1" w:rsidP="00154BD1">
            <w:pPr>
              <w:rPr>
                <w:b/>
                <w:i/>
                <w:sz w:val="24"/>
                <w:szCs w:val="20"/>
              </w:rPr>
            </w:pPr>
            <w:r w:rsidRPr="009B23F8">
              <w:rPr>
                <w:b/>
                <w:i/>
                <w:sz w:val="24"/>
                <w:szCs w:val="20"/>
              </w:rPr>
              <w:t xml:space="preserve">The target requires students to demonstrate growth in learning by achieving profile results by the end of the school year to be on or above their </w:t>
            </w:r>
            <w:r w:rsidR="00184809">
              <w:rPr>
                <w:b/>
                <w:i/>
                <w:sz w:val="24"/>
                <w:szCs w:val="20"/>
              </w:rPr>
              <w:t>exit grade level</w:t>
            </w:r>
            <w:r w:rsidRPr="009B23F8">
              <w:rPr>
                <w:b/>
                <w:i/>
                <w:sz w:val="24"/>
                <w:szCs w:val="20"/>
              </w:rPr>
              <w:t>.</w:t>
            </w:r>
            <w:r w:rsidR="00184809">
              <w:rPr>
                <w:b/>
                <w:i/>
                <w:sz w:val="24"/>
                <w:szCs w:val="20"/>
              </w:rPr>
              <w:t xml:space="preserve">  </w:t>
            </w:r>
          </w:p>
          <w:p w:rsidR="00184809" w:rsidRPr="00ED6441" w:rsidRDefault="00154BD1" w:rsidP="00184809">
            <w:pPr>
              <w:rPr>
                <w:b/>
                <w:i/>
                <w:sz w:val="24"/>
                <w:szCs w:val="20"/>
              </w:rPr>
            </w:pPr>
            <w:r w:rsidRPr="009B23F8">
              <w:rPr>
                <w:b/>
                <w:i/>
                <w:sz w:val="24"/>
                <w:szCs w:val="20"/>
              </w:rPr>
              <w:t xml:space="preserve">In meeting district-priorities for learning, </w:t>
            </w:r>
            <w:proofErr w:type="spellStart"/>
            <w:r w:rsidRPr="009B23F8">
              <w:rPr>
                <w:b/>
                <w:i/>
                <w:sz w:val="24"/>
                <w:szCs w:val="20"/>
              </w:rPr>
              <w:t>iReady</w:t>
            </w:r>
            <w:proofErr w:type="spellEnd"/>
            <w:r w:rsidRPr="009B23F8">
              <w:rPr>
                <w:b/>
                <w:i/>
                <w:sz w:val="24"/>
                <w:szCs w:val="20"/>
              </w:rPr>
              <w:t xml:space="preserve"> is the measurement tool to assess CCLS reading and language standards</w:t>
            </w:r>
            <w:r w:rsidR="00184809">
              <w:rPr>
                <w:b/>
                <w:i/>
                <w:sz w:val="24"/>
                <w:szCs w:val="20"/>
              </w:rPr>
              <w:t xml:space="preserve"> for the local-comparable measure</w:t>
            </w:r>
            <w:r w:rsidRPr="009B23F8">
              <w:rPr>
                <w:b/>
                <w:i/>
                <w:sz w:val="24"/>
                <w:szCs w:val="20"/>
              </w:rPr>
              <w:t>.</w:t>
            </w:r>
            <w:r w:rsidR="009B23F8" w:rsidRPr="009B23F8">
              <w:rPr>
                <w:b/>
                <w:i/>
                <w:sz w:val="24"/>
                <w:szCs w:val="20"/>
              </w:rPr>
              <w:t xml:space="preserve">  In my job, my colleagues and I will attend regular inquiry team meetings to analyze interim assessments and </w:t>
            </w:r>
            <w:proofErr w:type="spellStart"/>
            <w:r w:rsidR="00184809">
              <w:rPr>
                <w:b/>
                <w:i/>
                <w:sz w:val="24"/>
                <w:szCs w:val="20"/>
              </w:rPr>
              <w:t>iready</w:t>
            </w:r>
            <w:proofErr w:type="spellEnd"/>
            <w:r w:rsidR="009B23F8" w:rsidRPr="009B23F8">
              <w:rPr>
                <w:b/>
                <w:i/>
                <w:sz w:val="24"/>
                <w:szCs w:val="20"/>
              </w:rPr>
              <w:t xml:space="preserve"> profile data in order to provide best-fit instruction so that each student’s target is met as well as preparing them for future success. </w:t>
            </w:r>
            <w:r w:rsidR="00184809">
              <w:rPr>
                <w:b/>
                <w:i/>
                <w:sz w:val="24"/>
                <w:szCs w:val="20"/>
              </w:rPr>
              <w:t>Grade 6 is a challenging grade level as students are moving toward higher expectations into the secondary grade levels.  Reading is a key indicator of futu</w:t>
            </w:r>
            <w:r w:rsidR="00ED6441">
              <w:rPr>
                <w:b/>
                <w:i/>
                <w:sz w:val="24"/>
                <w:szCs w:val="20"/>
              </w:rPr>
              <w:t xml:space="preserve">re success in college or </w:t>
            </w:r>
            <w:proofErr w:type="spellStart"/>
            <w:r w:rsidR="00ED6441">
              <w:rPr>
                <w:b/>
                <w:i/>
                <w:sz w:val="24"/>
                <w:szCs w:val="20"/>
              </w:rPr>
              <w:t>caree</w:t>
            </w:r>
            <w:proofErr w:type="spellEnd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"/>
        <w:gridCol w:w="1099"/>
        <w:gridCol w:w="1099"/>
        <w:gridCol w:w="1482"/>
      </w:tblGrid>
      <w:tr w:rsidR="00357AA8" w:rsidRPr="003C1358" w:rsidTr="00501A7D">
        <w:tc>
          <w:tcPr>
            <w:tcW w:w="1022" w:type="dxa"/>
          </w:tcPr>
          <w:p w:rsidR="00357AA8" w:rsidRPr="00F10A48" w:rsidRDefault="00357AA8" w:rsidP="00774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6th</w:t>
            </w:r>
            <w:r w:rsidRPr="00F10A48">
              <w:rPr>
                <w:sz w:val="18"/>
                <w:szCs w:val="18"/>
              </w:rPr>
              <w:t xml:space="preserve"> Grade</w:t>
            </w:r>
          </w:p>
          <w:p w:rsidR="00357AA8" w:rsidRPr="00F10A48" w:rsidRDefault="00357AA8" w:rsidP="00774D70">
            <w:pPr>
              <w:jc w:val="center"/>
              <w:rPr>
                <w:sz w:val="18"/>
                <w:szCs w:val="18"/>
              </w:rPr>
            </w:pPr>
            <w:r w:rsidRPr="00F10A48">
              <w:rPr>
                <w:sz w:val="18"/>
                <w:szCs w:val="18"/>
              </w:rPr>
              <w:t>Student Roster</w:t>
            </w:r>
          </w:p>
          <w:p w:rsidR="00357AA8" w:rsidRPr="00F10A48" w:rsidRDefault="00357AA8" w:rsidP="00774D70">
            <w:pPr>
              <w:jc w:val="center"/>
              <w:rPr>
                <w:sz w:val="18"/>
                <w:szCs w:val="18"/>
              </w:rPr>
            </w:pPr>
            <w:r w:rsidRPr="00F10A48">
              <w:rPr>
                <w:sz w:val="18"/>
                <w:szCs w:val="18"/>
              </w:rPr>
              <w:t>(identified by #)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RESULTS at end of GRADE 5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jc w:val="center"/>
              <w:rPr>
                <w:sz w:val="18"/>
                <w:szCs w:val="18"/>
              </w:rPr>
            </w:pPr>
            <w:r w:rsidRPr="00F10A48">
              <w:rPr>
                <w:sz w:val="18"/>
                <w:szCs w:val="18"/>
              </w:rPr>
              <w:t>Reading</w:t>
            </w:r>
          </w:p>
          <w:p w:rsidR="00357AA8" w:rsidRPr="00F10A48" w:rsidRDefault="00357AA8" w:rsidP="00774D70">
            <w:pPr>
              <w:jc w:val="center"/>
              <w:rPr>
                <w:sz w:val="18"/>
                <w:szCs w:val="18"/>
              </w:rPr>
            </w:pPr>
            <w:r w:rsidRPr="00F10A48">
              <w:rPr>
                <w:sz w:val="18"/>
                <w:szCs w:val="18"/>
              </w:rPr>
              <w:t>Profile</w:t>
            </w:r>
          </w:p>
          <w:p w:rsidR="00357AA8" w:rsidRPr="00F10A48" w:rsidRDefault="00357AA8" w:rsidP="00774D70">
            <w:pPr>
              <w:jc w:val="center"/>
              <w:rPr>
                <w:sz w:val="18"/>
                <w:szCs w:val="18"/>
              </w:rPr>
            </w:pPr>
            <w:r w:rsidRPr="00F10A48">
              <w:rPr>
                <w:sz w:val="18"/>
                <w:szCs w:val="18"/>
              </w:rPr>
              <w:t>PRE-Assessment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357AA8" w:rsidP="00774D70">
            <w:pPr>
              <w:jc w:val="center"/>
              <w:rPr>
                <w:b/>
                <w:sz w:val="18"/>
                <w:szCs w:val="18"/>
              </w:rPr>
            </w:pPr>
            <w:r w:rsidRPr="00F10A48">
              <w:rPr>
                <w:b/>
                <w:sz w:val="18"/>
                <w:szCs w:val="18"/>
              </w:rPr>
              <w:t>Reading</w:t>
            </w:r>
          </w:p>
          <w:p w:rsidR="00357AA8" w:rsidRPr="00F10A48" w:rsidRDefault="00357AA8" w:rsidP="00774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Scale Score</w:t>
            </w:r>
          </w:p>
          <w:p w:rsidR="00357AA8" w:rsidRPr="00F10A48" w:rsidRDefault="00357AA8" w:rsidP="00774D70">
            <w:pPr>
              <w:jc w:val="center"/>
              <w:rPr>
                <w:b/>
                <w:sz w:val="18"/>
                <w:szCs w:val="18"/>
              </w:rPr>
            </w:pPr>
            <w:r w:rsidRPr="00F10A48">
              <w:rPr>
                <w:b/>
                <w:sz w:val="18"/>
                <w:szCs w:val="18"/>
              </w:rPr>
              <w:t>TARGET SCORE</w:t>
            </w:r>
          </w:p>
        </w:tc>
      </w:tr>
      <w:tr w:rsidR="00357AA8" w:rsidRPr="00606E4B" w:rsidTr="00501A7D">
        <w:tc>
          <w:tcPr>
            <w:tcW w:w="1022" w:type="dxa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10A4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482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479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559</w:t>
            </w:r>
          </w:p>
        </w:tc>
      </w:tr>
      <w:tr w:rsidR="00357AA8" w:rsidRPr="006C18B9" w:rsidTr="00501A7D">
        <w:tc>
          <w:tcPr>
            <w:tcW w:w="1022" w:type="dxa"/>
            <w:shd w:val="clear" w:color="auto" w:fill="auto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392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388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448</w:t>
            </w:r>
          </w:p>
        </w:tc>
      </w:tr>
      <w:tr w:rsidR="00357AA8" w:rsidRPr="00606E4B" w:rsidTr="00501A7D">
        <w:tc>
          <w:tcPr>
            <w:tcW w:w="1022" w:type="dxa"/>
            <w:shd w:val="clear" w:color="auto" w:fill="auto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500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505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585</w:t>
            </w:r>
          </w:p>
        </w:tc>
      </w:tr>
      <w:tr w:rsidR="00357AA8" w:rsidRPr="00606E4B" w:rsidTr="00501A7D">
        <w:tc>
          <w:tcPr>
            <w:tcW w:w="1022" w:type="dxa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524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525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605</w:t>
            </w:r>
          </w:p>
        </w:tc>
      </w:tr>
      <w:tr w:rsidR="00357AA8" w:rsidRPr="006C18B9" w:rsidTr="00501A7D">
        <w:tc>
          <w:tcPr>
            <w:tcW w:w="1022" w:type="dxa"/>
            <w:shd w:val="clear" w:color="auto" w:fill="auto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500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499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579</w:t>
            </w:r>
          </w:p>
        </w:tc>
      </w:tr>
      <w:tr w:rsidR="00357AA8" w:rsidRPr="00606E4B" w:rsidTr="00501A7D">
        <w:tc>
          <w:tcPr>
            <w:tcW w:w="1022" w:type="dxa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363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360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420</w:t>
            </w:r>
          </w:p>
        </w:tc>
      </w:tr>
      <w:tr w:rsidR="00357AA8" w:rsidRPr="006C18B9" w:rsidTr="00501A7D">
        <w:tc>
          <w:tcPr>
            <w:tcW w:w="1022" w:type="dxa"/>
            <w:shd w:val="clear" w:color="auto" w:fill="auto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373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375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435</w:t>
            </w:r>
          </w:p>
        </w:tc>
      </w:tr>
      <w:tr w:rsidR="00357AA8" w:rsidRPr="006C18B9" w:rsidTr="00501A7D">
        <w:tc>
          <w:tcPr>
            <w:tcW w:w="1022" w:type="dxa"/>
            <w:shd w:val="clear" w:color="auto" w:fill="auto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color w:val="333333"/>
                <w:sz w:val="18"/>
                <w:szCs w:val="18"/>
              </w:rPr>
            </w:pPr>
            <w:r>
              <w:rPr>
                <w:rFonts w:cstheme="minorHAnsi"/>
                <w:color w:val="333333"/>
                <w:sz w:val="18"/>
                <w:szCs w:val="18"/>
              </w:rPr>
              <w:t>493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color w:val="333333"/>
                <w:sz w:val="18"/>
                <w:szCs w:val="18"/>
              </w:rPr>
            </w:pPr>
            <w:r>
              <w:rPr>
                <w:rFonts w:cstheme="minorHAnsi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color w:val="333333"/>
                <w:sz w:val="18"/>
                <w:szCs w:val="18"/>
              </w:rPr>
            </w:pPr>
            <w:r>
              <w:rPr>
                <w:rFonts w:cstheme="minorHAnsi"/>
                <w:b/>
                <w:color w:val="333333"/>
                <w:sz w:val="18"/>
                <w:szCs w:val="18"/>
              </w:rPr>
              <w:t>580</w:t>
            </w:r>
          </w:p>
        </w:tc>
      </w:tr>
      <w:tr w:rsidR="00357AA8" w:rsidRPr="006C18B9" w:rsidTr="00501A7D">
        <w:tc>
          <w:tcPr>
            <w:tcW w:w="1022" w:type="dxa"/>
            <w:shd w:val="clear" w:color="auto" w:fill="auto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550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545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635</w:t>
            </w:r>
          </w:p>
        </w:tc>
      </w:tr>
      <w:tr w:rsidR="00357AA8" w:rsidRPr="006C18B9" w:rsidTr="00501A7D">
        <w:tc>
          <w:tcPr>
            <w:tcW w:w="1022" w:type="dxa"/>
            <w:shd w:val="clear" w:color="auto" w:fill="auto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554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560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650</w:t>
            </w:r>
          </w:p>
        </w:tc>
      </w:tr>
      <w:tr w:rsidR="00357AA8" w:rsidRPr="00606E4B" w:rsidTr="00501A7D">
        <w:tc>
          <w:tcPr>
            <w:tcW w:w="1022" w:type="dxa"/>
            <w:shd w:val="clear" w:color="auto" w:fill="auto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593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600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690</w:t>
            </w:r>
          </w:p>
        </w:tc>
      </w:tr>
      <w:tr w:rsidR="00357AA8" w:rsidRPr="006C18B9" w:rsidTr="00501A7D">
        <w:tc>
          <w:tcPr>
            <w:tcW w:w="1022" w:type="dxa"/>
            <w:shd w:val="clear" w:color="auto" w:fill="auto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595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597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687</w:t>
            </w:r>
          </w:p>
        </w:tc>
      </w:tr>
      <w:tr w:rsidR="00357AA8" w:rsidRPr="003C1358" w:rsidTr="00501A7D">
        <w:tc>
          <w:tcPr>
            <w:tcW w:w="1022" w:type="dxa"/>
            <w:shd w:val="clear" w:color="auto" w:fill="auto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588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585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675</w:t>
            </w:r>
          </w:p>
        </w:tc>
      </w:tr>
      <w:tr w:rsidR="00357AA8" w:rsidRPr="006C18B9" w:rsidTr="00501A7D">
        <w:tc>
          <w:tcPr>
            <w:tcW w:w="1022" w:type="dxa"/>
            <w:shd w:val="clear" w:color="auto" w:fill="auto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547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550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640</w:t>
            </w:r>
          </w:p>
        </w:tc>
      </w:tr>
      <w:tr w:rsidR="00357AA8" w:rsidRPr="00606E4B" w:rsidTr="00501A7D">
        <w:tc>
          <w:tcPr>
            <w:tcW w:w="1022" w:type="dxa"/>
            <w:shd w:val="clear" w:color="auto" w:fill="auto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557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560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650</w:t>
            </w:r>
          </w:p>
        </w:tc>
      </w:tr>
      <w:tr w:rsidR="00357AA8" w:rsidRPr="006C18B9" w:rsidTr="00501A7D">
        <w:trPr>
          <w:trHeight w:val="188"/>
        </w:trPr>
        <w:tc>
          <w:tcPr>
            <w:tcW w:w="1022" w:type="dxa"/>
            <w:shd w:val="clear" w:color="auto" w:fill="auto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591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595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685</w:t>
            </w:r>
          </w:p>
        </w:tc>
      </w:tr>
      <w:tr w:rsidR="00357AA8" w:rsidRPr="00606E4B" w:rsidTr="00501A7D">
        <w:tc>
          <w:tcPr>
            <w:tcW w:w="1022" w:type="dxa"/>
            <w:shd w:val="clear" w:color="auto" w:fill="auto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582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578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638</w:t>
            </w:r>
          </w:p>
        </w:tc>
      </w:tr>
      <w:tr w:rsidR="00357AA8" w:rsidRPr="00606E4B" w:rsidTr="00501A7D">
        <w:tc>
          <w:tcPr>
            <w:tcW w:w="1022" w:type="dxa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571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568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658</w:t>
            </w:r>
          </w:p>
        </w:tc>
      </w:tr>
      <w:tr w:rsidR="00357AA8" w:rsidRPr="00606E4B" w:rsidTr="00501A7D">
        <w:tc>
          <w:tcPr>
            <w:tcW w:w="1022" w:type="dxa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625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625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715</w:t>
            </w:r>
          </w:p>
        </w:tc>
      </w:tr>
      <w:tr w:rsidR="00357AA8" w:rsidRPr="00606E4B" w:rsidTr="00501A7D">
        <w:tc>
          <w:tcPr>
            <w:tcW w:w="1022" w:type="dxa"/>
            <w:shd w:val="clear" w:color="auto" w:fill="auto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585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588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678</w:t>
            </w:r>
          </w:p>
        </w:tc>
      </w:tr>
      <w:tr w:rsidR="00357AA8" w:rsidRPr="006C18B9" w:rsidTr="00501A7D">
        <w:tc>
          <w:tcPr>
            <w:tcW w:w="1022" w:type="dxa"/>
            <w:shd w:val="clear" w:color="auto" w:fill="auto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569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578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668</w:t>
            </w:r>
          </w:p>
        </w:tc>
      </w:tr>
      <w:tr w:rsidR="00357AA8" w:rsidRPr="00606E4B" w:rsidTr="00501A7D">
        <w:tc>
          <w:tcPr>
            <w:tcW w:w="1022" w:type="dxa"/>
            <w:shd w:val="clear" w:color="auto" w:fill="auto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588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580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670</w:t>
            </w:r>
          </w:p>
        </w:tc>
      </w:tr>
      <w:tr w:rsidR="00357AA8" w:rsidRPr="00606E4B" w:rsidTr="00501A7D">
        <w:tc>
          <w:tcPr>
            <w:tcW w:w="1022" w:type="dxa"/>
            <w:shd w:val="clear" w:color="auto" w:fill="auto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574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579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669</w:t>
            </w:r>
          </w:p>
        </w:tc>
      </w:tr>
      <w:tr w:rsidR="00357AA8" w:rsidRPr="00606E4B" w:rsidTr="00501A7D">
        <w:tc>
          <w:tcPr>
            <w:tcW w:w="1022" w:type="dxa"/>
            <w:shd w:val="clear" w:color="auto" w:fill="auto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596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600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690</w:t>
            </w:r>
          </w:p>
        </w:tc>
      </w:tr>
      <w:tr w:rsidR="00357AA8" w:rsidRPr="006C18B9" w:rsidTr="00501A7D">
        <w:trPr>
          <w:trHeight w:val="215"/>
        </w:trPr>
        <w:tc>
          <w:tcPr>
            <w:tcW w:w="1022" w:type="dxa"/>
            <w:shd w:val="clear" w:color="auto" w:fill="auto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575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578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668</w:t>
            </w:r>
          </w:p>
        </w:tc>
      </w:tr>
      <w:tr w:rsidR="00357AA8" w:rsidRPr="00606E4B" w:rsidTr="00501A7D">
        <w:tc>
          <w:tcPr>
            <w:tcW w:w="1022" w:type="dxa"/>
            <w:shd w:val="clear" w:color="auto" w:fill="auto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597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595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685</w:t>
            </w:r>
          </w:p>
        </w:tc>
      </w:tr>
      <w:tr w:rsidR="00357AA8" w:rsidRPr="00606E4B" w:rsidTr="00501A7D">
        <w:tc>
          <w:tcPr>
            <w:tcW w:w="1022" w:type="dxa"/>
            <w:shd w:val="clear" w:color="auto" w:fill="auto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586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590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680</w:t>
            </w:r>
          </w:p>
        </w:tc>
      </w:tr>
      <w:tr w:rsidR="00357AA8" w:rsidRPr="00606E4B" w:rsidTr="00501A7D">
        <w:tc>
          <w:tcPr>
            <w:tcW w:w="1022" w:type="dxa"/>
            <w:shd w:val="clear" w:color="auto" w:fill="auto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617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620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710</w:t>
            </w:r>
          </w:p>
        </w:tc>
      </w:tr>
      <w:tr w:rsidR="00357AA8" w:rsidRPr="00606E4B" w:rsidTr="00501A7D">
        <w:tc>
          <w:tcPr>
            <w:tcW w:w="1022" w:type="dxa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560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555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645</w:t>
            </w:r>
          </w:p>
        </w:tc>
      </w:tr>
      <w:tr w:rsidR="00357AA8" w:rsidRPr="00606E4B" w:rsidTr="00501A7D">
        <w:tc>
          <w:tcPr>
            <w:tcW w:w="1022" w:type="dxa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568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570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660</w:t>
            </w:r>
          </w:p>
        </w:tc>
      </w:tr>
      <w:tr w:rsidR="00357AA8" w:rsidRPr="00606E4B" w:rsidTr="00501A7D">
        <w:tc>
          <w:tcPr>
            <w:tcW w:w="1022" w:type="dxa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590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592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682</w:t>
            </w:r>
          </w:p>
        </w:tc>
      </w:tr>
      <w:tr w:rsidR="00357AA8" w:rsidRPr="00606E4B" w:rsidTr="00501A7D">
        <w:tc>
          <w:tcPr>
            <w:tcW w:w="1022" w:type="dxa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580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585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675</w:t>
            </w:r>
          </w:p>
        </w:tc>
      </w:tr>
      <w:tr w:rsidR="00357AA8" w:rsidRPr="00606E4B" w:rsidTr="00501A7D">
        <w:tc>
          <w:tcPr>
            <w:tcW w:w="1022" w:type="dxa"/>
            <w:shd w:val="clear" w:color="auto" w:fill="auto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579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576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667</w:t>
            </w:r>
          </w:p>
        </w:tc>
      </w:tr>
      <w:tr w:rsidR="00357AA8" w:rsidRPr="00606E4B" w:rsidTr="00501A7D">
        <w:trPr>
          <w:trHeight w:val="188"/>
        </w:trPr>
        <w:tc>
          <w:tcPr>
            <w:tcW w:w="1022" w:type="dxa"/>
            <w:shd w:val="clear" w:color="auto" w:fill="auto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587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590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680</w:t>
            </w:r>
          </w:p>
        </w:tc>
      </w:tr>
      <w:tr w:rsidR="00357AA8" w:rsidRPr="00606E4B" w:rsidTr="00501A7D">
        <w:tc>
          <w:tcPr>
            <w:tcW w:w="1022" w:type="dxa"/>
            <w:shd w:val="clear" w:color="auto" w:fill="auto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623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627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717</w:t>
            </w:r>
          </w:p>
        </w:tc>
      </w:tr>
      <w:tr w:rsidR="00357AA8" w:rsidRPr="00606E4B" w:rsidTr="00501A7D">
        <w:tc>
          <w:tcPr>
            <w:tcW w:w="1022" w:type="dxa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571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575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665</w:t>
            </w:r>
          </w:p>
        </w:tc>
      </w:tr>
      <w:tr w:rsidR="00357AA8" w:rsidRPr="003C1358" w:rsidTr="00501A7D">
        <w:trPr>
          <w:trHeight w:val="188"/>
        </w:trPr>
        <w:tc>
          <w:tcPr>
            <w:tcW w:w="1022" w:type="dxa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620</w:t>
            </w: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618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708</w:t>
            </w:r>
          </w:p>
        </w:tc>
      </w:tr>
      <w:tr w:rsidR="00357AA8" w:rsidRPr="00606E4B" w:rsidTr="00501A7D">
        <w:tc>
          <w:tcPr>
            <w:tcW w:w="1022" w:type="dxa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554</w:t>
            </w:r>
          </w:p>
        </w:tc>
        <w:tc>
          <w:tcPr>
            <w:tcW w:w="1099" w:type="dxa"/>
          </w:tcPr>
          <w:p w:rsidR="00357AA8" w:rsidRPr="00F10A48" w:rsidRDefault="00133BF5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559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649</w:t>
            </w:r>
          </w:p>
        </w:tc>
      </w:tr>
      <w:tr w:rsidR="00357AA8" w:rsidRPr="00606E4B" w:rsidTr="00501A7D">
        <w:tc>
          <w:tcPr>
            <w:tcW w:w="1022" w:type="dxa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624</w:t>
            </w:r>
          </w:p>
        </w:tc>
        <w:tc>
          <w:tcPr>
            <w:tcW w:w="1099" w:type="dxa"/>
          </w:tcPr>
          <w:p w:rsidR="00357AA8" w:rsidRPr="00F10A48" w:rsidRDefault="00133BF5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628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718</w:t>
            </w:r>
          </w:p>
        </w:tc>
      </w:tr>
      <w:tr w:rsidR="00357AA8" w:rsidRPr="00606E4B" w:rsidTr="00501A7D">
        <w:tc>
          <w:tcPr>
            <w:tcW w:w="1022" w:type="dxa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649</w:t>
            </w:r>
          </w:p>
        </w:tc>
        <w:tc>
          <w:tcPr>
            <w:tcW w:w="1099" w:type="dxa"/>
          </w:tcPr>
          <w:p w:rsidR="00357AA8" w:rsidRPr="00F10A48" w:rsidRDefault="00133BF5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651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751</w:t>
            </w:r>
          </w:p>
        </w:tc>
      </w:tr>
      <w:tr w:rsidR="00357AA8" w:rsidRPr="00606E4B" w:rsidTr="00501A7D">
        <w:tc>
          <w:tcPr>
            <w:tcW w:w="1022" w:type="dxa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627</w:t>
            </w:r>
          </w:p>
        </w:tc>
        <w:tc>
          <w:tcPr>
            <w:tcW w:w="1099" w:type="dxa"/>
          </w:tcPr>
          <w:p w:rsidR="00357AA8" w:rsidRPr="00F10A48" w:rsidRDefault="00133BF5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625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715</w:t>
            </w:r>
          </w:p>
        </w:tc>
      </w:tr>
      <w:tr w:rsidR="00357AA8" w:rsidRPr="00606E4B" w:rsidTr="00501A7D">
        <w:trPr>
          <w:trHeight w:val="215"/>
        </w:trPr>
        <w:tc>
          <w:tcPr>
            <w:tcW w:w="1022" w:type="dxa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639</w:t>
            </w:r>
          </w:p>
        </w:tc>
        <w:tc>
          <w:tcPr>
            <w:tcW w:w="1099" w:type="dxa"/>
          </w:tcPr>
          <w:p w:rsidR="00357AA8" w:rsidRPr="00F10A48" w:rsidRDefault="00133BF5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642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742</w:t>
            </w:r>
          </w:p>
        </w:tc>
      </w:tr>
      <w:tr w:rsidR="00357AA8" w:rsidRPr="00606E4B" w:rsidTr="00501A7D">
        <w:tc>
          <w:tcPr>
            <w:tcW w:w="1022" w:type="dxa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612</w:t>
            </w:r>
          </w:p>
        </w:tc>
        <w:tc>
          <w:tcPr>
            <w:tcW w:w="1099" w:type="dxa"/>
          </w:tcPr>
          <w:p w:rsidR="00357AA8" w:rsidRPr="00F10A48" w:rsidRDefault="00133BF5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609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699</w:t>
            </w:r>
          </w:p>
        </w:tc>
      </w:tr>
      <w:tr w:rsidR="00357AA8" w:rsidRPr="00606E4B" w:rsidTr="00501A7D">
        <w:tc>
          <w:tcPr>
            <w:tcW w:w="1022" w:type="dxa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data</w:t>
            </w:r>
          </w:p>
        </w:tc>
        <w:tc>
          <w:tcPr>
            <w:tcW w:w="1099" w:type="dxa"/>
          </w:tcPr>
          <w:p w:rsidR="00357AA8" w:rsidRPr="00F10A48" w:rsidRDefault="00133BF5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555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645</w:t>
            </w:r>
          </w:p>
        </w:tc>
      </w:tr>
      <w:tr w:rsidR="00357AA8" w:rsidRPr="00606E4B" w:rsidTr="00501A7D">
        <w:tc>
          <w:tcPr>
            <w:tcW w:w="1022" w:type="dxa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data</w:t>
            </w:r>
          </w:p>
        </w:tc>
        <w:tc>
          <w:tcPr>
            <w:tcW w:w="1099" w:type="dxa"/>
          </w:tcPr>
          <w:p w:rsidR="00357AA8" w:rsidRPr="00F10A48" w:rsidRDefault="00133BF5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590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680</w:t>
            </w:r>
          </w:p>
        </w:tc>
      </w:tr>
      <w:tr w:rsidR="00357AA8" w:rsidRPr="00606E4B" w:rsidTr="00501A7D">
        <w:tc>
          <w:tcPr>
            <w:tcW w:w="1022" w:type="dxa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data</w:t>
            </w:r>
          </w:p>
        </w:tc>
        <w:tc>
          <w:tcPr>
            <w:tcW w:w="1099" w:type="dxa"/>
          </w:tcPr>
          <w:p w:rsidR="00357AA8" w:rsidRPr="00F10A48" w:rsidRDefault="00133BF5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612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702</w:t>
            </w:r>
          </w:p>
        </w:tc>
      </w:tr>
      <w:tr w:rsidR="00357AA8" w:rsidRPr="00606E4B" w:rsidTr="00501A7D">
        <w:tc>
          <w:tcPr>
            <w:tcW w:w="1022" w:type="dxa"/>
          </w:tcPr>
          <w:p w:rsidR="00357AA8" w:rsidRPr="00F10A48" w:rsidRDefault="00357AA8" w:rsidP="000E2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9" w:type="dxa"/>
          </w:tcPr>
          <w:p w:rsidR="00357AA8" w:rsidRPr="00F10A48" w:rsidRDefault="00357AA8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 data</w:t>
            </w:r>
          </w:p>
        </w:tc>
        <w:tc>
          <w:tcPr>
            <w:tcW w:w="1099" w:type="dxa"/>
          </w:tcPr>
          <w:p w:rsidR="00357AA8" w:rsidRPr="00F10A48" w:rsidRDefault="00133BF5" w:rsidP="00774D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500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357AA8" w:rsidRPr="00F10A48" w:rsidRDefault="00ED6441" w:rsidP="00774D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580</w:t>
            </w:r>
          </w:p>
        </w:tc>
      </w:tr>
    </w:tbl>
    <w:p w:rsidR="005316CD" w:rsidRPr="00CE463B" w:rsidRDefault="005316CD" w:rsidP="00CE463B">
      <w:pPr>
        <w:tabs>
          <w:tab w:val="left" w:pos="2385"/>
        </w:tabs>
      </w:pPr>
    </w:p>
    <w:sectPr w:rsidR="005316CD" w:rsidRPr="00CE463B" w:rsidSect="000551D7">
      <w:headerReference w:type="default" r:id="rId9"/>
      <w:footerReference w:type="default" r:id="rId10"/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CB" w:rsidRDefault="00825FCB" w:rsidP="005673D9">
      <w:pPr>
        <w:spacing w:after="0" w:line="240" w:lineRule="auto"/>
      </w:pPr>
      <w:r>
        <w:separator/>
      </w:r>
    </w:p>
  </w:endnote>
  <w:endnote w:type="continuationSeparator" w:id="0">
    <w:p w:rsidR="00825FCB" w:rsidRDefault="00825FCB" w:rsidP="005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52" w:rsidRPr="00F056B2" w:rsidRDefault="00ED6441" w:rsidP="00094B6F">
    <w:pPr>
      <w:pStyle w:val="Footer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SAMPLE – </w:t>
    </w:r>
    <w:proofErr w:type="spellStart"/>
    <w:r>
      <w:rPr>
        <w:rFonts w:ascii="Arial" w:hAnsi="Arial" w:cs="Arial"/>
        <w:i/>
        <w:sz w:val="20"/>
        <w:szCs w:val="20"/>
      </w:rPr>
      <w:t>D.Serure</w:t>
    </w:r>
    <w:proofErr w:type="spellEnd"/>
    <w:r>
      <w:rPr>
        <w:rFonts w:ascii="Arial" w:hAnsi="Arial" w:cs="Arial"/>
        <w:i/>
        <w:sz w:val="20"/>
        <w:szCs w:val="20"/>
      </w:rPr>
      <w:t>/IES (9-2012)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CB" w:rsidRDefault="00825FCB" w:rsidP="005673D9">
      <w:pPr>
        <w:spacing w:after="0" w:line="240" w:lineRule="auto"/>
      </w:pPr>
      <w:r>
        <w:separator/>
      </w:r>
    </w:p>
  </w:footnote>
  <w:footnote w:type="continuationSeparator" w:id="0">
    <w:p w:rsidR="00825FCB" w:rsidRDefault="00825FCB" w:rsidP="0056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52" w:rsidRPr="00C762DF" w:rsidRDefault="00D3060D" w:rsidP="00093E52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sz w:val="28"/>
        <w:szCs w:val="28"/>
      </w:rPr>
      <w:t xml:space="preserve">Learning Target </w:t>
    </w:r>
    <w:r w:rsidR="00093E52" w:rsidRPr="009B23F8">
      <w:rPr>
        <w:rFonts w:ascii="Arial" w:hAnsi="Arial" w:cs="Arial"/>
        <w:sz w:val="28"/>
        <w:szCs w:val="28"/>
      </w:rPr>
      <w:t>Template</w:t>
    </w:r>
    <w:r w:rsidR="00093E52" w:rsidRPr="00C762DF">
      <w:rPr>
        <w:rFonts w:ascii="Arial" w:hAnsi="Arial" w:cs="Arial"/>
        <w:b/>
        <w:sz w:val="28"/>
        <w:szCs w:val="28"/>
      </w:rPr>
      <w:t xml:space="preserve"> </w:t>
    </w:r>
    <w:r w:rsidR="009B23F8">
      <w:rPr>
        <w:rFonts w:ascii="Arial" w:hAnsi="Arial" w:cs="Arial"/>
        <w:b/>
        <w:sz w:val="28"/>
        <w:szCs w:val="28"/>
      </w:rPr>
      <w:t xml:space="preserve">– </w:t>
    </w:r>
    <w:r>
      <w:rPr>
        <w:rFonts w:ascii="Arial" w:hAnsi="Arial" w:cs="Arial"/>
        <w:b/>
        <w:sz w:val="28"/>
        <w:szCs w:val="28"/>
      </w:rPr>
      <w:t xml:space="preserve">Local-Measure </w:t>
    </w:r>
    <w:r w:rsidR="009B23F8">
      <w:rPr>
        <w:rFonts w:ascii="Arial" w:hAnsi="Arial" w:cs="Arial"/>
        <w:b/>
        <w:sz w:val="28"/>
        <w:szCs w:val="28"/>
      </w:rPr>
      <w:t>P</w:t>
    </w:r>
    <w:r w:rsidR="003C1358">
      <w:rPr>
        <w:rFonts w:ascii="Arial" w:hAnsi="Arial" w:cs="Arial"/>
        <w:b/>
        <w:sz w:val="28"/>
        <w:szCs w:val="28"/>
      </w:rPr>
      <w:t xml:space="preserve">RACTICE with </w:t>
    </w:r>
    <w:proofErr w:type="spellStart"/>
    <w:r w:rsidR="009B23F8">
      <w:rPr>
        <w:rFonts w:ascii="Arial" w:hAnsi="Arial" w:cs="Arial"/>
        <w:b/>
        <w:sz w:val="28"/>
        <w:szCs w:val="28"/>
      </w:rPr>
      <w:t>iReady</w:t>
    </w:r>
    <w:proofErr w:type="spellEnd"/>
    <w:r w:rsidR="009B23F8">
      <w:rPr>
        <w:rFonts w:ascii="Arial" w:hAnsi="Arial" w:cs="Arial"/>
        <w:b/>
        <w:sz w:val="28"/>
        <w:szCs w:val="28"/>
      </w:rPr>
      <w:t xml:space="preserve"> data for Grade </w:t>
    </w:r>
    <w:r>
      <w:rPr>
        <w:rFonts w:ascii="Arial" w:hAnsi="Arial" w:cs="Arial"/>
        <w:b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C1A"/>
    <w:multiLevelType w:val="hybridMultilevel"/>
    <w:tmpl w:val="139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FE6ADC"/>
    <w:multiLevelType w:val="hybridMultilevel"/>
    <w:tmpl w:val="A344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94866"/>
    <w:multiLevelType w:val="hybridMultilevel"/>
    <w:tmpl w:val="AEB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550E45"/>
    <w:multiLevelType w:val="hybridMultilevel"/>
    <w:tmpl w:val="00341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4"/>
    <w:rsid w:val="0000103E"/>
    <w:rsid w:val="00026025"/>
    <w:rsid w:val="000551D7"/>
    <w:rsid w:val="00093E52"/>
    <w:rsid w:val="00094B6F"/>
    <w:rsid w:val="000A6099"/>
    <w:rsid w:val="000E2D81"/>
    <w:rsid w:val="00133BF5"/>
    <w:rsid w:val="00154BD1"/>
    <w:rsid w:val="00184809"/>
    <w:rsid w:val="00292D85"/>
    <w:rsid w:val="002C76A6"/>
    <w:rsid w:val="00357AA8"/>
    <w:rsid w:val="003A7612"/>
    <w:rsid w:val="003C0B30"/>
    <w:rsid w:val="003C1358"/>
    <w:rsid w:val="003C2591"/>
    <w:rsid w:val="004462A2"/>
    <w:rsid w:val="004D7BF3"/>
    <w:rsid w:val="005316CD"/>
    <w:rsid w:val="005430CB"/>
    <w:rsid w:val="00544597"/>
    <w:rsid w:val="00544D05"/>
    <w:rsid w:val="00555B33"/>
    <w:rsid w:val="005673D9"/>
    <w:rsid w:val="00650CF7"/>
    <w:rsid w:val="006D3DA1"/>
    <w:rsid w:val="00736D27"/>
    <w:rsid w:val="00766A97"/>
    <w:rsid w:val="00782505"/>
    <w:rsid w:val="007D3C7F"/>
    <w:rsid w:val="00805767"/>
    <w:rsid w:val="00825FCB"/>
    <w:rsid w:val="008A6B39"/>
    <w:rsid w:val="008E4433"/>
    <w:rsid w:val="008F7C3A"/>
    <w:rsid w:val="00906EA5"/>
    <w:rsid w:val="0091480C"/>
    <w:rsid w:val="009745E9"/>
    <w:rsid w:val="00982347"/>
    <w:rsid w:val="009A335E"/>
    <w:rsid w:val="009B23F8"/>
    <w:rsid w:val="00A16037"/>
    <w:rsid w:val="00A22D1D"/>
    <w:rsid w:val="00A540B7"/>
    <w:rsid w:val="00A726EE"/>
    <w:rsid w:val="00AD4081"/>
    <w:rsid w:val="00B81004"/>
    <w:rsid w:val="00C4555B"/>
    <w:rsid w:val="00C73358"/>
    <w:rsid w:val="00C762DF"/>
    <w:rsid w:val="00CD0420"/>
    <w:rsid w:val="00CE463B"/>
    <w:rsid w:val="00D3060D"/>
    <w:rsid w:val="00DB0921"/>
    <w:rsid w:val="00E10A04"/>
    <w:rsid w:val="00E36F46"/>
    <w:rsid w:val="00EA090B"/>
    <w:rsid w:val="00ED6441"/>
    <w:rsid w:val="00F01284"/>
    <w:rsid w:val="00F056B2"/>
    <w:rsid w:val="00F10A48"/>
    <w:rsid w:val="00F36A36"/>
    <w:rsid w:val="00F46E51"/>
    <w:rsid w:val="00FD17BB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LightShading">
    <w:name w:val="Light Shading"/>
    <w:basedOn w:val="TableNormal"/>
    <w:uiPriority w:val="60"/>
    <w:rsid w:val="00093E52"/>
    <w:rPr>
      <w:rFonts w:ascii="Arial" w:eastAsiaTheme="minorHAnsi" w:hAnsi="Arial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locked/>
    <w:rsid w:val="000E2D8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2D81"/>
    <w:rPr>
      <w:strike w:val="0"/>
      <w:dstrike w:val="0"/>
      <w:color w:val="3366CC"/>
      <w:u w:val="none"/>
      <w:effect w:val="none"/>
    </w:rPr>
  </w:style>
  <w:style w:type="paragraph" w:styleId="NoSpacing">
    <w:name w:val="No Spacing"/>
    <w:uiPriority w:val="1"/>
    <w:qFormat/>
    <w:rsid w:val="00F10A4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LightShading">
    <w:name w:val="Light Shading"/>
    <w:basedOn w:val="TableNormal"/>
    <w:uiPriority w:val="60"/>
    <w:rsid w:val="00093E52"/>
    <w:rPr>
      <w:rFonts w:ascii="Arial" w:eastAsiaTheme="minorHAnsi" w:hAnsi="Arial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locked/>
    <w:rsid w:val="000E2D8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2D81"/>
    <w:rPr>
      <w:strike w:val="0"/>
      <w:dstrike w:val="0"/>
      <w:color w:val="3366CC"/>
      <w:u w:val="none"/>
      <w:effect w:val="none"/>
    </w:rPr>
  </w:style>
  <w:style w:type="paragraph" w:styleId="NoSpacing">
    <w:name w:val="No Spacing"/>
    <w:uiPriority w:val="1"/>
    <w:qFormat/>
    <w:rsid w:val="00F10A4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CCC89-1C22-4B2B-A6FD-3B25CDCA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Student Learning Objective Template</vt:lpstr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Student Learning Objective Template</dc:title>
  <dc:creator>NYSED</dc:creator>
  <cp:lastModifiedBy>Theresa Gray</cp:lastModifiedBy>
  <cp:revision>3</cp:revision>
  <cp:lastPrinted>2012-06-20T18:23:00Z</cp:lastPrinted>
  <dcterms:created xsi:type="dcterms:W3CDTF">2012-09-18T13:00:00Z</dcterms:created>
  <dcterms:modified xsi:type="dcterms:W3CDTF">2012-09-18T18:31:00Z</dcterms:modified>
</cp:coreProperties>
</file>