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5AD" w:rsidRDefault="004325AD" w:rsidP="004325AD">
      <w:pPr>
        <w:rPr>
          <w:rFonts w:ascii="Verdana" w:hAnsi="Verdana"/>
          <w:b/>
        </w:rPr>
      </w:pPr>
      <w:r w:rsidRPr="004325AD">
        <w:rPr>
          <w:rFonts w:ascii="Verdana" w:hAnsi="Verdana"/>
          <w:b/>
        </w:rPr>
        <w:t>[District Name]</w:t>
      </w:r>
    </w:p>
    <w:p w:rsidR="00B932CA" w:rsidRDefault="00116E1D" w:rsidP="004325AD">
      <w:pPr>
        <w:rPr>
          <w:rFonts w:ascii="Verdana" w:hAnsi="Verdana"/>
          <w:b/>
        </w:rPr>
      </w:pPr>
      <w:r>
        <w:rPr>
          <w:rFonts w:ascii="Verdana" w:hAnsi="Verdana"/>
          <w:b/>
        </w:rPr>
        <w:t>Principal Annual Professional Performance Review</w:t>
      </w:r>
    </w:p>
    <w:p w:rsidR="00116E1D" w:rsidRDefault="00116E1D" w:rsidP="00116E1D">
      <w:pPr>
        <w:rPr>
          <w:rFonts w:ascii="Verdana" w:hAnsi="Verdana"/>
          <w:bCs/>
          <w:iCs/>
        </w:rPr>
      </w:pPr>
      <w:r w:rsidRPr="00116E1D">
        <w:rPr>
          <w:rFonts w:ascii="Verdana" w:hAnsi="Verdana"/>
        </w:rPr>
        <w:t>The primary goal of the Annual Professional Performance Review (APPR) Plan is to</w:t>
      </w:r>
      <w:r w:rsidRPr="00116E1D">
        <w:rPr>
          <w:rFonts w:ascii="Verdana" w:hAnsi="Verdana"/>
          <w:bCs/>
          <w:iCs/>
        </w:rPr>
        <w:t xml:space="preserve"> foster </w:t>
      </w:r>
      <w:r>
        <w:rPr>
          <w:rFonts w:ascii="Verdana" w:hAnsi="Verdana"/>
          <w:bCs/>
          <w:iCs/>
        </w:rPr>
        <w:t xml:space="preserve">a school </w:t>
      </w:r>
      <w:r w:rsidRPr="00116E1D">
        <w:rPr>
          <w:rFonts w:ascii="Verdana" w:hAnsi="Verdana"/>
          <w:bCs/>
          <w:iCs/>
        </w:rPr>
        <w:t xml:space="preserve">culture of continuous professional </w:t>
      </w:r>
      <w:r>
        <w:rPr>
          <w:rFonts w:ascii="Verdana" w:hAnsi="Verdana"/>
          <w:bCs/>
          <w:iCs/>
        </w:rPr>
        <w:t xml:space="preserve">reflection and </w:t>
      </w:r>
      <w:r w:rsidRPr="00116E1D">
        <w:rPr>
          <w:rFonts w:ascii="Verdana" w:hAnsi="Verdana"/>
          <w:bCs/>
          <w:iCs/>
        </w:rPr>
        <w:t>growth which in turn promotes student achievement.  The APPR will be used to foster ongoing professional growth and development, reflection, and refinement of professional practice for all faculty and staff in order to improve teaching and learning.</w:t>
      </w:r>
    </w:p>
    <w:p w:rsidR="00116E1D" w:rsidRPr="00116E1D" w:rsidRDefault="00116E1D" w:rsidP="00116E1D">
      <w:pPr>
        <w:rPr>
          <w:rFonts w:ascii="Verdana" w:hAnsi="Verdana"/>
          <w:b/>
          <w:bCs/>
          <w:iCs/>
        </w:rPr>
      </w:pPr>
      <w:r w:rsidRPr="00116E1D">
        <w:rPr>
          <w:rFonts w:ascii="Verdana" w:hAnsi="Verdana"/>
          <w:b/>
          <w:bCs/>
          <w:iCs/>
        </w:rPr>
        <w:t>APPR Process</w:t>
      </w:r>
    </w:p>
    <w:p w:rsidR="00793B74" w:rsidRDefault="00116E1D" w:rsidP="00116E1D">
      <w:pPr>
        <w:rPr>
          <w:rFonts w:ascii="Verdana" w:hAnsi="Verdana"/>
        </w:rPr>
      </w:pPr>
      <w:r>
        <w:rPr>
          <w:rFonts w:ascii="Verdana" w:hAnsi="Verdana"/>
        </w:rPr>
        <w:t>All principals will be evaluated annually using the process outlined in this document</w:t>
      </w:r>
      <w:r w:rsidRPr="00116E1D">
        <w:rPr>
          <w:rFonts w:ascii="Verdana" w:hAnsi="Verdana"/>
        </w:rPr>
        <w:t xml:space="preserve">. </w:t>
      </w:r>
      <w:r w:rsidR="00793B74">
        <w:rPr>
          <w:rFonts w:ascii="Verdana" w:hAnsi="Verdana"/>
        </w:rPr>
        <w:t xml:space="preserve">Evaluations shall be conducted by the Superintendent or the principal’s supervisor.  </w:t>
      </w:r>
    </w:p>
    <w:p w:rsidR="00116E1D" w:rsidRDefault="00116E1D" w:rsidP="00116E1D">
      <w:pPr>
        <w:rPr>
          <w:rFonts w:ascii="Verdana" w:hAnsi="Verdana"/>
        </w:rPr>
      </w:pPr>
      <w:r w:rsidRPr="00116E1D">
        <w:rPr>
          <w:rFonts w:ascii="Verdana" w:hAnsi="Verdana"/>
        </w:rPr>
        <w:t>According to Section 3012-c of Education Law (revised 5/2011), principals</w:t>
      </w:r>
      <w:r w:rsidR="00793B74">
        <w:rPr>
          <w:rFonts w:ascii="Verdana" w:hAnsi="Verdana"/>
        </w:rPr>
        <w:t xml:space="preserve"> will be evaluated</w:t>
      </w:r>
      <w:r w:rsidRPr="00116E1D">
        <w:rPr>
          <w:rFonts w:ascii="Verdana" w:hAnsi="Verdana"/>
        </w:rPr>
        <w:t xml:space="preserve"> on a 100-point composite score, which incorporates multiple me</w:t>
      </w:r>
      <w:r w:rsidR="00335DCA">
        <w:rPr>
          <w:rFonts w:ascii="Verdana" w:hAnsi="Verdana"/>
        </w:rPr>
        <w:t xml:space="preserve">asures that will place principals </w:t>
      </w:r>
      <w:bookmarkStart w:id="0" w:name="_GoBack"/>
      <w:bookmarkEnd w:id="0"/>
      <w:r w:rsidRPr="00116E1D">
        <w:rPr>
          <w:rFonts w:ascii="Verdana" w:hAnsi="Verdana"/>
        </w:rPr>
        <w:t>in one of four categories: Highly Effective, Effective, Developing or Ineffective.  The determination of the composite score shall be as follows:</w:t>
      </w:r>
    </w:p>
    <w:tbl>
      <w:tblPr>
        <w:tblStyle w:val="TableGrid"/>
        <w:tblW w:w="0" w:type="auto"/>
        <w:jc w:val="center"/>
        <w:tblInd w:w="720" w:type="dxa"/>
        <w:tblLook w:val="04A0" w:firstRow="1" w:lastRow="0" w:firstColumn="1" w:lastColumn="0" w:noHBand="0" w:noVBand="1"/>
      </w:tblPr>
      <w:tblGrid>
        <w:gridCol w:w="1915"/>
        <w:gridCol w:w="1915"/>
        <w:gridCol w:w="1915"/>
        <w:gridCol w:w="1915"/>
        <w:gridCol w:w="1916"/>
      </w:tblGrid>
      <w:tr w:rsidR="00116E1D" w:rsidTr="00116E1D">
        <w:trPr>
          <w:jc w:val="center"/>
        </w:trPr>
        <w:tc>
          <w:tcPr>
            <w:tcW w:w="1915" w:type="dxa"/>
            <w:shd w:val="clear" w:color="auto" w:fill="D9D9D9" w:themeFill="background1" w:themeFillShade="D9"/>
          </w:tcPr>
          <w:p w:rsidR="00116E1D" w:rsidRPr="00116E1D" w:rsidRDefault="00116E1D" w:rsidP="00A56EC3">
            <w:pPr>
              <w:pStyle w:val="ListParagraph"/>
              <w:ind w:left="0"/>
              <w:jc w:val="center"/>
              <w:rPr>
                <w:rFonts w:ascii="Verdana" w:hAnsi="Verdana"/>
              </w:rPr>
            </w:pPr>
            <w:r w:rsidRPr="00116E1D">
              <w:rPr>
                <w:rFonts w:ascii="Verdana" w:hAnsi="Verdana"/>
              </w:rPr>
              <w:t>Categories</w:t>
            </w:r>
          </w:p>
        </w:tc>
        <w:tc>
          <w:tcPr>
            <w:tcW w:w="1915" w:type="dxa"/>
            <w:shd w:val="clear" w:color="auto" w:fill="D9D9D9" w:themeFill="background1" w:themeFillShade="D9"/>
          </w:tcPr>
          <w:p w:rsidR="00116E1D" w:rsidRPr="00116E1D" w:rsidRDefault="00116E1D" w:rsidP="00A56EC3">
            <w:pPr>
              <w:pStyle w:val="ListParagraph"/>
              <w:ind w:left="0"/>
              <w:jc w:val="center"/>
              <w:rPr>
                <w:rFonts w:ascii="Verdana" w:hAnsi="Verdana"/>
              </w:rPr>
            </w:pPr>
            <w:r w:rsidRPr="00116E1D">
              <w:rPr>
                <w:rFonts w:ascii="Verdana" w:hAnsi="Verdana"/>
              </w:rPr>
              <w:t>Overall Ratings</w:t>
            </w:r>
          </w:p>
        </w:tc>
        <w:tc>
          <w:tcPr>
            <w:tcW w:w="1915" w:type="dxa"/>
            <w:shd w:val="clear" w:color="auto" w:fill="D9D9D9" w:themeFill="background1" w:themeFillShade="D9"/>
          </w:tcPr>
          <w:p w:rsidR="00116E1D" w:rsidRPr="00116E1D" w:rsidRDefault="00116E1D" w:rsidP="00A56EC3">
            <w:pPr>
              <w:pStyle w:val="ListParagraph"/>
              <w:ind w:left="0"/>
              <w:jc w:val="center"/>
              <w:rPr>
                <w:rFonts w:ascii="Verdana" w:hAnsi="Verdana"/>
              </w:rPr>
            </w:pPr>
            <w:r w:rsidRPr="00116E1D">
              <w:rPr>
                <w:rFonts w:ascii="Verdana" w:hAnsi="Verdana"/>
              </w:rPr>
              <w:t>State Assessments</w:t>
            </w:r>
          </w:p>
        </w:tc>
        <w:tc>
          <w:tcPr>
            <w:tcW w:w="1915" w:type="dxa"/>
            <w:shd w:val="clear" w:color="auto" w:fill="D9D9D9" w:themeFill="background1" w:themeFillShade="D9"/>
          </w:tcPr>
          <w:p w:rsidR="00116E1D" w:rsidRPr="00116E1D" w:rsidRDefault="00116E1D" w:rsidP="00A56EC3">
            <w:pPr>
              <w:pStyle w:val="ListParagraph"/>
              <w:ind w:left="0"/>
              <w:jc w:val="center"/>
              <w:rPr>
                <w:rFonts w:ascii="Verdana" w:hAnsi="Verdana"/>
              </w:rPr>
            </w:pPr>
            <w:r w:rsidRPr="00116E1D">
              <w:rPr>
                <w:rFonts w:ascii="Verdana" w:hAnsi="Verdana"/>
              </w:rPr>
              <w:t>Locally Selected Assessments</w:t>
            </w:r>
          </w:p>
        </w:tc>
        <w:tc>
          <w:tcPr>
            <w:tcW w:w="1916" w:type="dxa"/>
            <w:shd w:val="clear" w:color="auto" w:fill="D9D9D9" w:themeFill="background1" w:themeFillShade="D9"/>
          </w:tcPr>
          <w:p w:rsidR="00116E1D" w:rsidRPr="00116E1D" w:rsidRDefault="00116E1D" w:rsidP="00A56EC3">
            <w:pPr>
              <w:pStyle w:val="ListParagraph"/>
              <w:ind w:left="0"/>
              <w:jc w:val="center"/>
              <w:rPr>
                <w:rFonts w:ascii="Verdana" w:hAnsi="Verdana"/>
              </w:rPr>
            </w:pPr>
            <w:r w:rsidRPr="00116E1D">
              <w:rPr>
                <w:rFonts w:ascii="Verdana" w:hAnsi="Verdana"/>
              </w:rPr>
              <w:t>Other Measures of Effectiveness</w:t>
            </w:r>
          </w:p>
        </w:tc>
      </w:tr>
      <w:tr w:rsidR="00116E1D" w:rsidTr="00116E1D">
        <w:trPr>
          <w:jc w:val="center"/>
        </w:trPr>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Highly Effective</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91-100</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18-20</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18-20</w:t>
            </w:r>
          </w:p>
        </w:tc>
        <w:tc>
          <w:tcPr>
            <w:tcW w:w="1916" w:type="dxa"/>
          </w:tcPr>
          <w:p w:rsidR="00116E1D" w:rsidRPr="00116E1D" w:rsidRDefault="00116E1D" w:rsidP="00A56EC3">
            <w:pPr>
              <w:pStyle w:val="ListParagraph"/>
              <w:ind w:left="0"/>
              <w:jc w:val="center"/>
              <w:rPr>
                <w:rFonts w:ascii="Verdana" w:hAnsi="Verdana"/>
              </w:rPr>
            </w:pPr>
          </w:p>
        </w:tc>
      </w:tr>
      <w:tr w:rsidR="00116E1D" w:rsidTr="00116E1D">
        <w:trPr>
          <w:jc w:val="center"/>
        </w:trPr>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Effective</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75-90</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12-17</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12-17</w:t>
            </w:r>
          </w:p>
        </w:tc>
        <w:tc>
          <w:tcPr>
            <w:tcW w:w="1916" w:type="dxa"/>
          </w:tcPr>
          <w:p w:rsidR="00116E1D" w:rsidRPr="00116E1D" w:rsidRDefault="00116E1D" w:rsidP="00A56EC3">
            <w:pPr>
              <w:pStyle w:val="ListParagraph"/>
              <w:ind w:left="0"/>
              <w:jc w:val="center"/>
              <w:rPr>
                <w:rFonts w:ascii="Verdana" w:hAnsi="Verdana"/>
              </w:rPr>
            </w:pPr>
          </w:p>
        </w:tc>
      </w:tr>
      <w:tr w:rsidR="00116E1D" w:rsidTr="00116E1D">
        <w:trPr>
          <w:jc w:val="center"/>
        </w:trPr>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Developing</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65-74</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3-11</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3-11</w:t>
            </w:r>
          </w:p>
        </w:tc>
        <w:tc>
          <w:tcPr>
            <w:tcW w:w="1916" w:type="dxa"/>
          </w:tcPr>
          <w:p w:rsidR="00116E1D" w:rsidRPr="00116E1D" w:rsidRDefault="00116E1D" w:rsidP="00A56EC3">
            <w:pPr>
              <w:pStyle w:val="ListParagraph"/>
              <w:ind w:left="0"/>
              <w:jc w:val="center"/>
              <w:rPr>
                <w:rFonts w:ascii="Verdana" w:hAnsi="Verdana"/>
              </w:rPr>
            </w:pPr>
          </w:p>
        </w:tc>
      </w:tr>
      <w:tr w:rsidR="00116E1D" w:rsidTr="00116E1D">
        <w:trPr>
          <w:jc w:val="center"/>
        </w:trPr>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Ineffective</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0-64</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0-2</w:t>
            </w:r>
          </w:p>
        </w:tc>
        <w:tc>
          <w:tcPr>
            <w:tcW w:w="1915" w:type="dxa"/>
          </w:tcPr>
          <w:p w:rsidR="00116E1D" w:rsidRPr="00116E1D" w:rsidRDefault="00116E1D" w:rsidP="00A56EC3">
            <w:pPr>
              <w:pStyle w:val="ListParagraph"/>
              <w:ind w:left="0"/>
              <w:jc w:val="center"/>
              <w:rPr>
                <w:rFonts w:ascii="Verdana" w:hAnsi="Verdana"/>
              </w:rPr>
            </w:pPr>
            <w:r w:rsidRPr="00116E1D">
              <w:rPr>
                <w:rFonts w:ascii="Verdana" w:hAnsi="Verdana"/>
              </w:rPr>
              <w:t>0-2</w:t>
            </w:r>
          </w:p>
        </w:tc>
        <w:tc>
          <w:tcPr>
            <w:tcW w:w="1916" w:type="dxa"/>
          </w:tcPr>
          <w:p w:rsidR="00116E1D" w:rsidRPr="00116E1D" w:rsidRDefault="00116E1D" w:rsidP="00116E1D">
            <w:pPr>
              <w:pStyle w:val="ListParagraph"/>
              <w:ind w:left="0"/>
              <w:rPr>
                <w:rFonts w:ascii="Verdana" w:hAnsi="Verdana"/>
              </w:rPr>
            </w:pPr>
          </w:p>
        </w:tc>
      </w:tr>
    </w:tbl>
    <w:p w:rsidR="00116E1D" w:rsidRDefault="00116E1D" w:rsidP="00116E1D">
      <w:pPr>
        <w:rPr>
          <w:rFonts w:ascii="Verdana" w:hAnsi="Verdana"/>
        </w:rPr>
      </w:pPr>
    </w:p>
    <w:p w:rsidR="00116E1D" w:rsidRDefault="00116E1D" w:rsidP="00116E1D">
      <w:pPr>
        <w:rPr>
          <w:rFonts w:ascii="Verdana" w:hAnsi="Verdana"/>
        </w:rPr>
      </w:pPr>
      <w:r w:rsidRPr="00116E1D">
        <w:rPr>
          <w:rFonts w:ascii="Verdana" w:hAnsi="Verdana"/>
        </w:rPr>
        <w:t>In the event principal receives a</w:t>
      </w:r>
      <w:r>
        <w:rPr>
          <w:rFonts w:ascii="Verdana" w:hAnsi="Verdana"/>
        </w:rPr>
        <w:t>n overall</w:t>
      </w:r>
      <w:r w:rsidRPr="00116E1D">
        <w:rPr>
          <w:rFonts w:ascii="Verdana" w:hAnsi="Verdana"/>
        </w:rPr>
        <w:t xml:space="preserve"> rating of “Developing” or “Ineffective,” the </w:t>
      </w:r>
      <w:r>
        <w:rPr>
          <w:rFonts w:ascii="Verdana" w:hAnsi="Verdana"/>
        </w:rPr>
        <w:t>Superintendent</w:t>
      </w:r>
      <w:r w:rsidRPr="00116E1D">
        <w:rPr>
          <w:rFonts w:ascii="Verdana" w:hAnsi="Verdana"/>
        </w:rPr>
        <w:t xml:space="preserve"> will schedule a meeting to discuss the overall performance rating an</w:t>
      </w:r>
      <w:r>
        <w:rPr>
          <w:rFonts w:ascii="Verdana" w:hAnsi="Verdana"/>
        </w:rPr>
        <w:t>d begin development of a Principal</w:t>
      </w:r>
      <w:r w:rsidRPr="00116E1D">
        <w:rPr>
          <w:rFonts w:ascii="Verdana" w:hAnsi="Verdana"/>
        </w:rPr>
        <w:t xml:space="preserve"> Improvement Plan</w:t>
      </w:r>
      <w:r>
        <w:rPr>
          <w:rFonts w:ascii="Verdana" w:hAnsi="Verdana"/>
        </w:rPr>
        <w:t xml:space="preserve"> (PIP) as</w:t>
      </w:r>
      <w:r w:rsidRPr="00116E1D">
        <w:rPr>
          <w:rFonts w:ascii="Verdana" w:hAnsi="Verdana"/>
        </w:rPr>
        <w:t xml:space="preserve"> outlined in this document.</w:t>
      </w:r>
    </w:p>
    <w:p w:rsidR="00FF6FC8" w:rsidRPr="00AE7F25" w:rsidRDefault="00FF6FC8" w:rsidP="00FF6FC8">
      <w:pPr>
        <w:pStyle w:val="Default"/>
        <w:rPr>
          <w:rFonts w:ascii="Verdana" w:hAnsi="Verdana"/>
          <w:b/>
          <w:sz w:val="22"/>
          <w:szCs w:val="28"/>
        </w:rPr>
      </w:pPr>
      <w:r>
        <w:rPr>
          <w:rFonts w:ascii="Verdana" w:hAnsi="Verdana"/>
        </w:rPr>
        <w:t>[</w:t>
      </w:r>
      <w:r>
        <w:rPr>
          <w:rFonts w:ascii="Verdana" w:hAnsi="Verdana"/>
          <w:b/>
          <w:sz w:val="22"/>
          <w:szCs w:val="28"/>
        </w:rPr>
        <w:t>The district is currently in negotiations related to the development of Principal Improvement Plans.  Upon completion of negotiations, this section will be updated.]</w:t>
      </w:r>
    </w:p>
    <w:p w:rsidR="00FF6FC8" w:rsidRDefault="00FF6FC8" w:rsidP="00116E1D">
      <w:pPr>
        <w:rPr>
          <w:rFonts w:ascii="Verdana" w:hAnsi="Verdana"/>
        </w:rPr>
      </w:pPr>
    </w:p>
    <w:p w:rsidR="00793B74" w:rsidRDefault="00793B74" w:rsidP="00793B74">
      <w:pPr>
        <w:rPr>
          <w:rFonts w:ascii="Verdana" w:hAnsi="Verdana"/>
        </w:rPr>
      </w:pPr>
      <w:r w:rsidRPr="00793B74">
        <w:rPr>
          <w:rFonts w:ascii="Verdana" w:hAnsi="Verdana"/>
          <w:b/>
        </w:rPr>
        <w:t>Orientation</w:t>
      </w:r>
      <w:r w:rsidRPr="004325AD">
        <w:rPr>
          <w:rFonts w:ascii="Verdana" w:hAnsi="Verdana"/>
        </w:rPr>
        <w:t xml:space="preserve"> </w:t>
      </w:r>
    </w:p>
    <w:p w:rsidR="00793B74" w:rsidRDefault="00793B74" w:rsidP="00116E1D">
      <w:pPr>
        <w:rPr>
          <w:rFonts w:ascii="Verdana" w:hAnsi="Verdana"/>
        </w:rPr>
      </w:pPr>
      <w:r w:rsidRPr="004325AD">
        <w:rPr>
          <w:rFonts w:ascii="Verdana" w:hAnsi="Verdana"/>
        </w:rPr>
        <w:t>Each school year, evaluators will conduct a group orientation with all principals. At this orientation, each principal will receive a complete set of materials outlining the evaluation process and an explanation of the timeline and how performance will be measured. Each principal should become thoroughly familiar with the Principal Evaluation System</w:t>
      </w:r>
      <w:r>
        <w:rPr>
          <w:rFonts w:ascii="Verdana" w:hAnsi="Verdana"/>
        </w:rPr>
        <w:t>,</w:t>
      </w:r>
      <w:r w:rsidRPr="004325AD">
        <w:rPr>
          <w:rFonts w:ascii="Verdana" w:hAnsi="Verdana"/>
        </w:rPr>
        <w:t xml:space="preserve"> and all of the materials associated with it, including</w:t>
      </w:r>
      <w:r>
        <w:rPr>
          <w:rFonts w:ascii="Verdana" w:hAnsi="Verdana"/>
        </w:rPr>
        <w:t xml:space="preserve"> the selected principal rubric,</w:t>
      </w:r>
      <w:r w:rsidRPr="004325AD">
        <w:rPr>
          <w:rFonts w:ascii="Verdana" w:hAnsi="Verdana"/>
        </w:rPr>
        <w:t xml:space="preserve"> definitions and forms. </w:t>
      </w:r>
    </w:p>
    <w:p w:rsidR="00793B74" w:rsidRDefault="00793B74" w:rsidP="00116E1D">
      <w:pPr>
        <w:rPr>
          <w:rFonts w:ascii="Verdana" w:hAnsi="Verdana"/>
        </w:rPr>
      </w:pPr>
    </w:p>
    <w:p w:rsidR="00793B74" w:rsidRPr="00116E1D" w:rsidRDefault="00793B74" w:rsidP="00116E1D">
      <w:pPr>
        <w:rPr>
          <w:rFonts w:ascii="Verdana" w:hAnsi="Verdana"/>
        </w:rPr>
      </w:pPr>
    </w:p>
    <w:p w:rsidR="00116E1D" w:rsidRDefault="00116E1D" w:rsidP="00116E1D">
      <w:pPr>
        <w:rPr>
          <w:rFonts w:ascii="Verdana" w:hAnsi="Verdana"/>
          <w:b/>
        </w:rPr>
      </w:pPr>
      <w:r w:rsidRPr="00116E1D">
        <w:rPr>
          <w:rFonts w:ascii="Verdana" w:hAnsi="Verdana"/>
          <w:b/>
        </w:rPr>
        <w:lastRenderedPageBreak/>
        <w:t>Other Measures of Effectiveness</w:t>
      </w:r>
    </w:p>
    <w:p w:rsidR="00116E1D" w:rsidRDefault="00116E1D" w:rsidP="00116E1D">
      <w:pPr>
        <w:pStyle w:val="ListParagraph"/>
        <w:numPr>
          <w:ilvl w:val="0"/>
          <w:numId w:val="4"/>
        </w:numPr>
        <w:rPr>
          <w:rFonts w:ascii="Verdana" w:hAnsi="Verdana"/>
          <w:b/>
        </w:rPr>
      </w:pPr>
      <w:r>
        <w:rPr>
          <w:rFonts w:ascii="Verdana" w:hAnsi="Verdana"/>
          <w:b/>
        </w:rPr>
        <w:t>Rubric Selection</w:t>
      </w:r>
    </w:p>
    <w:p w:rsidR="00116E1D" w:rsidRDefault="00116E1D" w:rsidP="00116E1D">
      <w:pPr>
        <w:pStyle w:val="ListParagraph"/>
        <w:ind w:left="1080"/>
        <w:rPr>
          <w:rFonts w:ascii="Verdana" w:hAnsi="Verdana"/>
        </w:rPr>
      </w:pPr>
      <w:r>
        <w:rPr>
          <w:rFonts w:ascii="Verdana" w:hAnsi="Verdana"/>
        </w:rPr>
        <w:t>For the purposes of determining a score for this section, the District will utilize the Multidimensional Principal Practice Rubric (MPPR)</w:t>
      </w:r>
      <w:r w:rsidR="00793B74">
        <w:rPr>
          <w:rFonts w:ascii="Verdana" w:hAnsi="Verdana"/>
        </w:rPr>
        <w:t xml:space="preserve"> developed by Learner Centered Initiatives, Inc. and </w:t>
      </w:r>
      <w:r>
        <w:rPr>
          <w:rFonts w:ascii="Verdana" w:hAnsi="Verdana"/>
        </w:rPr>
        <w:t>approved by the NYS Educa</w:t>
      </w:r>
      <w:r w:rsidR="00793B74">
        <w:rPr>
          <w:rFonts w:ascii="Verdana" w:hAnsi="Verdana"/>
        </w:rPr>
        <w:t xml:space="preserve">tion Department.  The rubric can be located at </w:t>
      </w:r>
      <w:hyperlink r:id="rId8" w:history="1">
        <w:r w:rsidR="00793B74" w:rsidRPr="005D1219">
          <w:rPr>
            <w:rStyle w:val="Hyperlink"/>
            <w:rFonts w:ascii="Verdana" w:hAnsi="Verdana"/>
          </w:rPr>
          <w:t>http://usny.nysed.gov/rttt/teachers-leaders/practicerubrics/</w:t>
        </w:r>
      </w:hyperlink>
      <w:r w:rsidR="00793B74">
        <w:rPr>
          <w:rFonts w:ascii="Verdana" w:hAnsi="Verdana"/>
        </w:rPr>
        <w:t xml:space="preserve"> and is attached to this document as Appendix ____.</w:t>
      </w:r>
    </w:p>
    <w:p w:rsidR="00793B74" w:rsidRDefault="00793B74" w:rsidP="00116E1D">
      <w:pPr>
        <w:pStyle w:val="ListParagraph"/>
        <w:ind w:left="1080"/>
        <w:rPr>
          <w:rFonts w:ascii="Verdana" w:hAnsi="Verdana"/>
        </w:rPr>
      </w:pPr>
    </w:p>
    <w:p w:rsidR="00793B74" w:rsidRDefault="00793B74" w:rsidP="00793B74">
      <w:pPr>
        <w:pStyle w:val="ListParagraph"/>
        <w:numPr>
          <w:ilvl w:val="0"/>
          <w:numId w:val="4"/>
        </w:numPr>
        <w:rPr>
          <w:rFonts w:ascii="Verdana" w:hAnsi="Verdana"/>
          <w:b/>
        </w:rPr>
      </w:pPr>
      <w:r w:rsidRPr="00793B74">
        <w:rPr>
          <w:rFonts w:ascii="Verdana" w:hAnsi="Verdana"/>
          <w:b/>
        </w:rPr>
        <w:t>Determining Sub-Component Score</w:t>
      </w:r>
    </w:p>
    <w:p w:rsidR="00793B74" w:rsidRDefault="00793B74" w:rsidP="00793B74">
      <w:pPr>
        <w:pStyle w:val="ListParagraph"/>
        <w:ind w:left="1080"/>
        <w:rPr>
          <w:rFonts w:ascii="Verdana" w:hAnsi="Verdana"/>
        </w:rPr>
      </w:pPr>
      <w:r>
        <w:rPr>
          <w:rFonts w:ascii="Verdana" w:hAnsi="Verdana"/>
        </w:rPr>
        <w:t>Each principal will receive a score for this section out of 60 points.  The process for determining the final score shall be a combination of site visits, document and artifact review and goal setting.  The process for weighting the MPPR and determining the final sub-component score is attached as Appendix ____.</w:t>
      </w:r>
    </w:p>
    <w:p w:rsidR="00793B74" w:rsidRPr="00793B74" w:rsidRDefault="00793B74" w:rsidP="00793B74">
      <w:pPr>
        <w:pStyle w:val="ListParagraph"/>
        <w:ind w:left="1080"/>
        <w:rPr>
          <w:rFonts w:ascii="Verdana" w:hAnsi="Verdana"/>
        </w:rPr>
      </w:pPr>
    </w:p>
    <w:p w:rsidR="00E00B0A" w:rsidRDefault="00793B74" w:rsidP="00793B74">
      <w:pPr>
        <w:pStyle w:val="ListParagraph"/>
        <w:numPr>
          <w:ilvl w:val="0"/>
          <w:numId w:val="4"/>
        </w:numPr>
        <w:rPr>
          <w:rFonts w:ascii="Verdana" w:hAnsi="Verdana"/>
          <w:b/>
        </w:rPr>
      </w:pPr>
      <w:r w:rsidRPr="00793B74">
        <w:rPr>
          <w:rFonts w:ascii="Verdana" w:hAnsi="Verdana"/>
          <w:b/>
        </w:rPr>
        <w:t>Evaluation Cycle</w:t>
      </w:r>
    </w:p>
    <w:p w:rsidR="00793B74" w:rsidRDefault="000B514A" w:rsidP="00793B74">
      <w:pPr>
        <w:rPr>
          <w:rFonts w:ascii="Verdana" w:hAnsi="Verdana"/>
          <w:b/>
        </w:rPr>
      </w:pPr>
      <w:r>
        <w:rPr>
          <w:rFonts w:ascii="Verdana" w:hAnsi="Verdana"/>
          <w:b/>
          <w:noProof/>
        </w:rPr>
        <w:drawing>
          <wp:anchor distT="0" distB="0" distL="114300" distR="114300" simplePos="0" relativeHeight="251658240" behindDoc="1" locked="0" layoutInCell="1" allowOverlap="1" wp14:anchorId="7233A678" wp14:editId="42862DA0">
            <wp:simplePos x="0" y="0"/>
            <wp:positionH relativeFrom="column">
              <wp:posOffset>53439</wp:posOffset>
            </wp:positionH>
            <wp:positionV relativeFrom="paragraph">
              <wp:posOffset>39584</wp:posOffset>
            </wp:positionV>
            <wp:extent cx="6863938" cy="4892634"/>
            <wp:effectExtent l="0" t="0" r="0" b="381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793B74" w:rsidRDefault="00793B74"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0B514A" w:rsidRDefault="000B514A" w:rsidP="00793B74">
      <w:pPr>
        <w:rPr>
          <w:rFonts w:ascii="Verdana" w:hAnsi="Verdana"/>
          <w:b/>
        </w:rPr>
      </w:pPr>
    </w:p>
    <w:p w:rsidR="00FF6FC8" w:rsidRPr="00793B74" w:rsidRDefault="00FF6FC8" w:rsidP="00793B74">
      <w:pPr>
        <w:rPr>
          <w:rFonts w:ascii="Verdana" w:hAnsi="Verdana"/>
          <w:b/>
        </w:rPr>
      </w:pPr>
    </w:p>
    <w:p w:rsidR="0038660D" w:rsidRPr="004325AD" w:rsidRDefault="00B92AC1" w:rsidP="004325AD">
      <w:pPr>
        <w:pStyle w:val="ListParagraph"/>
        <w:numPr>
          <w:ilvl w:val="0"/>
          <w:numId w:val="1"/>
        </w:numPr>
        <w:rPr>
          <w:rFonts w:ascii="Verdana" w:hAnsi="Verdana"/>
        </w:rPr>
      </w:pPr>
      <w:r w:rsidRPr="004325AD">
        <w:rPr>
          <w:rFonts w:ascii="Verdana" w:hAnsi="Verdana"/>
          <w:b/>
          <w:u w:val="single"/>
        </w:rPr>
        <w:lastRenderedPageBreak/>
        <w:t>Goal Setting-</w:t>
      </w:r>
      <w:r w:rsidRPr="004325AD">
        <w:rPr>
          <w:rFonts w:ascii="Verdana" w:hAnsi="Verdana"/>
        </w:rPr>
        <w:t xml:space="preserve"> </w:t>
      </w:r>
      <w:r w:rsidR="0038660D" w:rsidRPr="004325AD">
        <w:rPr>
          <w:rFonts w:ascii="Verdana" w:hAnsi="Verdana"/>
        </w:rPr>
        <w:t xml:space="preserve">  Principals should have a knowledge and understanding of the District goals as well as the District mission and vision. This information, combined with the previous year’s data and teacher and administrator evaluations, will be used to establish individual goals and evaluative criteria for principals, as well as to establish new initiatives for all stakeholders.</w:t>
      </w:r>
    </w:p>
    <w:p w:rsidR="0038660D" w:rsidRPr="004325AD" w:rsidRDefault="0038660D" w:rsidP="0038660D">
      <w:pPr>
        <w:pStyle w:val="ListParagraph"/>
        <w:rPr>
          <w:rFonts w:ascii="Verdana" w:hAnsi="Verdana"/>
        </w:rPr>
      </w:pPr>
    </w:p>
    <w:p w:rsidR="00B92AC1" w:rsidRPr="004325AD" w:rsidRDefault="00AA16A0" w:rsidP="0038660D">
      <w:pPr>
        <w:pStyle w:val="ListParagraph"/>
        <w:rPr>
          <w:rFonts w:ascii="Verdana" w:hAnsi="Verdana"/>
        </w:rPr>
      </w:pPr>
      <w:r w:rsidRPr="004325AD">
        <w:rPr>
          <w:rFonts w:ascii="Verdana" w:hAnsi="Verdana"/>
        </w:rPr>
        <w:t xml:space="preserve">At least one of the goals set by the principal will relate to the principal’s contribution to improving teacher effectiveness.   Other goals shall address quantifiable and verifiable improvements in academic results or school learning environment resulting from the principal’s leadership and commitment to professional growth.  </w:t>
      </w:r>
      <w:r w:rsidR="00E00B0A" w:rsidRPr="004325AD">
        <w:rPr>
          <w:rFonts w:ascii="Verdana" w:hAnsi="Verdana"/>
        </w:rPr>
        <w:t>The principals will meet wi</w:t>
      </w:r>
      <w:r w:rsidR="0038660D" w:rsidRPr="004325AD">
        <w:rPr>
          <w:rFonts w:ascii="Verdana" w:hAnsi="Verdana"/>
        </w:rPr>
        <w:t>th the Superintendent</w:t>
      </w:r>
      <w:r w:rsidRPr="004325AD">
        <w:rPr>
          <w:rFonts w:ascii="Verdana" w:hAnsi="Verdana"/>
        </w:rPr>
        <w:t xml:space="preserve"> in August</w:t>
      </w:r>
      <w:r w:rsidR="0038660D" w:rsidRPr="004325AD">
        <w:rPr>
          <w:rFonts w:ascii="Verdana" w:hAnsi="Verdana"/>
        </w:rPr>
        <w:t xml:space="preserve"> to review, refine, </w:t>
      </w:r>
      <w:r w:rsidR="00E00B0A" w:rsidRPr="004325AD">
        <w:rPr>
          <w:rFonts w:ascii="Verdana" w:hAnsi="Verdana"/>
        </w:rPr>
        <w:t xml:space="preserve">and approve the intended goals. </w:t>
      </w:r>
    </w:p>
    <w:p w:rsidR="0004455B" w:rsidRPr="004325AD" w:rsidRDefault="0004455B" w:rsidP="0004455B">
      <w:pPr>
        <w:pStyle w:val="ListParagraph"/>
        <w:rPr>
          <w:rFonts w:ascii="Verdana" w:hAnsi="Verdana"/>
        </w:rPr>
      </w:pPr>
    </w:p>
    <w:p w:rsidR="0038660D" w:rsidRDefault="00B92AC1" w:rsidP="004325AD">
      <w:pPr>
        <w:pStyle w:val="ListParagraph"/>
        <w:numPr>
          <w:ilvl w:val="0"/>
          <w:numId w:val="1"/>
        </w:numPr>
        <w:rPr>
          <w:rFonts w:ascii="Verdana" w:hAnsi="Verdana"/>
        </w:rPr>
      </w:pPr>
      <w:r w:rsidRPr="004325AD">
        <w:rPr>
          <w:rFonts w:ascii="Verdana" w:hAnsi="Verdana"/>
          <w:b/>
          <w:u w:val="single"/>
        </w:rPr>
        <w:t xml:space="preserve">Site Visit </w:t>
      </w:r>
      <w:r w:rsidR="0004455B" w:rsidRPr="004325AD">
        <w:rPr>
          <w:rFonts w:ascii="Verdana" w:hAnsi="Verdana"/>
          <w:b/>
          <w:u w:val="single"/>
        </w:rPr>
        <w:t>Process-</w:t>
      </w:r>
      <w:r w:rsidR="0004455B" w:rsidRPr="004325AD">
        <w:rPr>
          <w:rFonts w:ascii="Verdana" w:hAnsi="Verdana"/>
        </w:rPr>
        <w:t xml:space="preserve"> Superintendent </w:t>
      </w:r>
      <w:r w:rsidR="00E00B0A" w:rsidRPr="004325AD">
        <w:rPr>
          <w:rFonts w:ascii="Verdana" w:hAnsi="Verdana"/>
        </w:rPr>
        <w:t>will begin the process of evaluation through visits that c</w:t>
      </w:r>
      <w:r w:rsidR="0004455B" w:rsidRPr="004325AD">
        <w:rPr>
          <w:rFonts w:ascii="Verdana" w:hAnsi="Verdana"/>
        </w:rPr>
        <w:t xml:space="preserve">onsist of informal visits to </w:t>
      </w:r>
      <w:r w:rsidR="00E00B0A" w:rsidRPr="004325AD">
        <w:rPr>
          <w:rFonts w:ascii="Verdana" w:hAnsi="Verdana"/>
        </w:rPr>
        <w:t xml:space="preserve">all aspects of the educational environment including </w:t>
      </w:r>
      <w:r w:rsidR="0004455B" w:rsidRPr="004325AD">
        <w:rPr>
          <w:rFonts w:ascii="Verdana" w:hAnsi="Verdana"/>
        </w:rPr>
        <w:t>the school,</w:t>
      </w:r>
      <w:r w:rsidR="00E00B0A" w:rsidRPr="004325AD">
        <w:rPr>
          <w:rFonts w:ascii="Verdana" w:hAnsi="Verdana"/>
        </w:rPr>
        <w:t xml:space="preserve"> both instructional and non-instructional spaces</w:t>
      </w:r>
      <w:r w:rsidR="0004455B" w:rsidRPr="004325AD">
        <w:rPr>
          <w:rFonts w:ascii="Verdana" w:hAnsi="Verdana"/>
        </w:rPr>
        <w:t xml:space="preserve"> </w:t>
      </w:r>
      <w:r w:rsidR="00E00B0A" w:rsidRPr="004325AD">
        <w:rPr>
          <w:rFonts w:ascii="Verdana" w:hAnsi="Verdana"/>
        </w:rPr>
        <w:t xml:space="preserve">such as the cafeteria and </w:t>
      </w:r>
      <w:r w:rsidR="0004455B" w:rsidRPr="004325AD">
        <w:rPr>
          <w:rFonts w:ascii="Verdana" w:hAnsi="Verdana"/>
        </w:rPr>
        <w:t>classroom</w:t>
      </w:r>
      <w:r w:rsidR="00E00B0A" w:rsidRPr="004325AD">
        <w:rPr>
          <w:rFonts w:ascii="Verdana" w:hAnsi="Verdana"/>
        </w:rPr>
        <w:t xml:space="preserve">s.  Visits can also encompass observation of faculty meetings, Student Support Teams, </w:t>
      </w:r>
      <w:r w:rsidR="0038709A" w:rsidRPr="004325AD">
        <w:rPr>
          <w:rFonts w:ascii="Verdana" w:hAnsi="Verdana"/>
        </w:rPr>
        <w:t xml:space="preserve">Grade level Meetings, </w:t>
      </w:r>
      <w:r w:rsidR="00E00B0A" w:rsidRPr="004325AD">
        <w:rPr>
          <w:rFonts w:ascii="Verdana" w:hAnsi="Verdana"/>
        </w:rPr>
        <w:t xml:space="preserve">Student Council activities, and other team </w:t>
      </w:r>
      <w:r w:rsidR="0038709A" w:rsidRPr="004325AD">
        <w:rPr>
          <w:rFonts w:ascii="Verdana" w:hAnsi="Verdana"/>
        </w:rPr>
        <w:t xml:space="preserve">or group meetings held within the district.  These may be both adult and student lead activities. </w:t>
      </w:r>
      <w:r w:rsidR="00E00B0A" w:rsidRPr="004325AD">
        <w:rPr>
          <w:rFonts w:ascii="Verdana" w:hAnsi="Verdana"/>
        </w:rPr>
        <w:t>The superinte</w:t>
      </w:r>
      <w:r w:rsidR="0038660D" w:rsidRPr="004325AD">
        <w:rPr>
          <w:rFonts w:ascii="Verdana" w:hAnsi="Verdana"/>
        </w:rPr>
        <w:t xml:space="preserve">ndent may visit such events as </w:t>
      </w:r>
      <w:r w:rsidR="0004455B" w:rsidRPr="004325AD">
        <w:rPr>
          <w:rFonts w:ascii="Verdana" w:hAnsi="Verdana"/>
        </w:rPr>
        <w:t>extra</w:t>
      </w:r>
      <w:r w:rsidR="0038709A" w:rsidRPr="004325AD">
        <w:rPr>
          <w:rFonts w:ascii="Verdana" w:hAnsi="Verdana"/>
        </w:rPr>
        <w:t>-</w:t>
      </w:r>
      <w:r w:rsidR="0004455B" w:rsidRPr="004325AD">
        <w:rPr>
          <w:rFonts w:ascii="Verdana" w:hAnsi="Verdana"/>
        </w:rPr>
        <w:t xml:space="preserve">curricular </w:t>
      </w:r>
      <w:r w:rsidR="00E00B0A" w:rsidRPr="004325AD">
        <w:rPr>
          <w:rFonts w:ascii="Verdana" w:hAnsi="Verdana"/>
        </w:rPr>
        <w:t xml:space="preserve">activities </w:t>
      </w:r>
      <w:r w:rsidR="0004455B" w:rsidRPr="004325AD">
        <w:rPr>
          <w:rFonts w:ascii="Verdana" w:hAnsi="Verdana"/>
        </w:rPr>
        <w:t xml:space="preserve">and sporting events. </w:t>
      </w:r>
      <w:r w:rsidR="0038709A" w:rsidRPr="004325AD">
        <w:rPr>
          <w:rFonts w:ascii="Verdana" w:hAnsi="Verdana"/>
        </w:rPr>
        <w:t>To promote a comprehensive evaluation, visits will be frequent, regular, and may be unannounced or scheduled.</w:t>
      </w:r>
    </w:p>
    <w:p w:rsidR="004325AD" w:rsidRPr="004325AD" w:rsidRDefault="004325AD" w:rsidP="004325AD">
      <w:pPr>
        <w:pStyle w:val="ListParagraph"/>
        <w:rPr>
          <w:rFonts w:ascii="Verdana" w:hAnsi="Verdana"/>
        </w:rPr>
      </w:pPr>
    </w:p>
    <w:p w:rsidR="0038709A" w:rsidRPr="004325AD" w:rsidRDefault="0038709A" w:rsidP="0004455B">
      <w:pPr>
        <w:pStyle w:val="ListParagraph"/>
        <w:rPr>
          <w:rFonts w:ascii="Verdana" w:hAnsi="Verdana"/>
        </w:rPr>
      </w:pPr>
      <w:r w:rsidRPr="004325AD">
        <w:rPr>
          <w:rFonts w:ascii="Verdana" w:hAnsi="Verdana"/>
        </w:rPr>
        <w:t>During each visit, documentation will be kept to</w:t>
      </w:r>
    </w:p>
    <w:p w:rsidR="0004455B" w:rsidRPr="004325AD" w:rsidRDefault="0038709A" w:rsidP="0004455B">
      <w:pPr>
        <w:pStyle w:val="ListParagraph"/>
        <w:numPr>
          <w:ilvl w:val="0"/>
          <w:numId w:val="2"/>
        </w:numPr>
        <w:rPr>
          <w:rFonts w:ascii="Verdana" w:hAnsi="Verdana"/>
        </w:rPr>
      </w:pPr>
      <w:r w:rsidRPr="004325AD">
        <w:rPr>
          <w:rFonts w:ascii="Verdana" w:hAnsi="Verdana"/>
        </w:rPr>
        <w:t>Demonstrate attainment of both personal and district goals</w:t>
      </w:r>
    </w:p>
    <w:p w:rsidR="0038709A" w:rsidRPr="004325AD" w:rsidRDefault="0038709A" w:rsidP="0004455B">
      <w:pPr>
        <w:pStyle w:val="ListParagraph"/>
        <w:numPr>
          <w:ilvl w:val="0"/>
          <w:numId w:val="2"/>
        </w:numPr>
        <w:rPr>
          <w:rFonts w:ascii="Verdana" w:hAnsi="Verdana"/>
        </w:rPr>
      </w:pPr>
      <w:r w:rsidRPr="004325AD">
        <w:rPr>
          <w:rFonts w:ascii="Verdana" w:hAnsi="Verdana"/>
        </w:rPr>
        <w:t>Document performan</w:t>
      </w:r>
      <w:r w:rsidR="00B932CA">
        <w:rPr>
          <w:rFonts w:ascii="Verdana" w:hAnsi="Verdana"/>
        </w:rPr>
        <w:t>ce against the selected principal rubric</w:t>
      </w:r>
    </w:p>
    <w:p w:rsidR="0038709A" w:rsidRPr="004325AD" w:rsidRDefault="0038709A" w:rsidP="0038709A">
      <w:pPr>
        <w:ind w:left="720"/>
        <w:rPr>
          <w:rFonts w:ascii="Verdana" w:hAnsi="Verdana"/>
        </w:rPr>
      </w:pPr>
      <w:r w:rsidRPr="004325AD">
        <w:rPr>
          <w:rFonts w:ascii="Verdana" w:hAnsi="Verdana"/>
        </w:rPr>
        <w:t>Constructive and timely feedback is recognized as an effective method to improve performance.  To this end, feedback will be provided to the principal through conversations, notes, and e-mails.  Note that more significant issues will b</w:t>
      </w:r>
      <w:r w:rsidR="004325AD">
        <w:rPr>
          <w:rFonts w:ascii="Verdana" w:hAnsi="Verdana"/>
        </w:rPr>
        <w:t>e addresses in a formal and</w:t>
      </w:r>
      <w:r w:rsidRPr="004325AD">
        <w:rPr>
          <w:rFonts w:ascii="Verdana" w:hAnsi="Verdana"/>
        </w:rPr>
        <w:t xml:space="preserve"> timely manner.</w:t>
      </w:r>
    </w:p>
    <w:p w:rsidR="00B92AC1" w:rsidRPr="004325AD" w:rsidRDefault="00B92AC1" w:rsidP="00B92AC1">
      <w:pPr>
        <w:pStyle w:val="ListParagraph"/>
        <w:rPr>
          <w:rFonts w:ascii="Verdana" w:hAnsi="Verdana"/>
          <w:b/>
        </w:rPr>
      </w:pPr>
    </w:p>
    <w:p w:rsidR="0004455B" w:rsidRPr="004325AD" w:rsidRDefault="000B514A" w:rsidP="00960934">
      <w:pPr>
        <w:pStyle w:val="ListParagraph"/>
        <w:numPr>
          <w:ilvl w:val="0"/>
          <w:numId w:val="1"/>
        </w:numPr>
        <w:rPr>
          <w:rFonts w:ascii="Verdana" w:hAnsi="Verdana"/>
          <w:b/>
        </w:rPr>
      </w:pPr>
      <w:r>
        <w:rPr>
          <w:rFonts w:ascii="Verdana" w:hAnsi="Verdana"/>
          <w:b/>
          <w:u w:val="single"/>
        </w:rPr>
        <w:t>Formative Mid-</w:t>
      </w:r>
      <w:r w:rsidR="0004455B" w:rsidRPr="004325AD">
        <w:rPr>
          <w:rFonts w:ascii="Verdana" w:hAnsi="Verdana"/>
          <w:b/>
          <w:u w:val="single"/>
        </w:rPr>
        <w:t>Year Evaluation-</w:t>
      </w:r>
      <w:r w:rsidR="0004455B" w:rsidRPr="004325AD">
        <w:rPr>
          <w:rFonts w:ascii="Verdana" w:hAnsi="Verdana"/>
          <w:b/>
        </w:rPr>
        <w:t xml:space="preserve"> </w:t>
      </w:r>
      <w:proofErr w:type="gramStart"/>
      <w:r w:rsidR="0004455B" w:rsidRPr="004325AD">
        <w:rPr>
          <w:rFonts w:ascii="Verdana" w:hAnsi="Verdana"/>
        </w:rPr>
        <w:t>The</w:t>
      </w:r>
      <w:proofErr w:type="gramEnd"/>
      <w:r w:rsidR="0004455B" w:rsidRPr="004325AD">
        <w:rPr>
          <w:rFonts w:ascii="Verdana" w:hAnsi="Verdana"/>
        </w:rPr>
        <w:t xml:space="preserve"> Superintendent will discuss and review</w:t>
      </w:r>
      <w:r w:rsidR="0004455B" w:rsidRPr="004325AD">
        <w:rPr>
          <w:rFonts w:ascii="Verdana" w:hAnsi="Verdana"/>
          <w:b/>
        </w:rPr>
        <w:t xml:space="preserve"> </w:t>
      </w:r>
      <w:r w:rsidR="004325AD">
        <w:rPr>
          <w:rFonts w:ascii="Verdana" w:hAnsi="Verdana"/>
        </w:rPr>
        <w:t xml:space="preserve">goals and complete a formative review of the </w:t>
      </w:r>
      <w:r w:rsidR="00B92AC1" w:rsidRPr="004325AD">
        <w:rPr>
          <w:rFonts w:ascii="Verdana" w:hAnsi="Verdana"/>
        </w:rPr>
        <w:t>principal evaluation rubric</w:t>
      </w:r>
      <w:r w:rsidR="0038709A" w:rsidRPr="004325AD">
        <w:rPr>
          <w:rFonts w:ascii="Verdana" w:hAnsi="Verdana"/>
        </w:rPr>
        <w:t xml:space="preserve"> during this formal meeting</w:t>
      </w:r>
      <w:r w:rsidR="00B92AC1" w:rsidRPr="004325AD">
        <w:rPr>
          <w:rFonts w:ascii="Verdana" w:hAnsi="Verdana"/>
        </w:rPr>
        <w:t xml:space="preserve">. </w:t>
      </w:r>
      <w:r w:rsidR="004325AD">
        <w:rPr>
          <w:rFonts w:ascii="Verdana" w:hAnsi="Verdana"/>
        </w:rPr>
        <w:t xml:space="preserve"> Principals will complete a self-assessment of their work on the same rubric and bring relevant supporting documentation to this meeting.  The Superintendent and principal will </w:t>
      </w:r>
      <w:r w:rsidR="004325AD" w:rsidRPr="004325AD">
        <w:rPr>
          <w:rFonts w:ascii="Verdana" w:hAnsi="Verdana"/>
        </w:rPr>
        <w:t>collaboratively</w:t>
      </w:r>
      <w:r w:rsidR="003652AB" w:rsidRPr="004325AD">
        <w:rPr>
          <w:rFonts w:ascii="Verdana" w:hAnsi="Verdana"/>
        </w:rPr>
        <w:t xml:space="preserve"> develop</w:t>
      </w:r>
      <w:r w:rsidR="0004455B" w:rsidRPr="004325AD">
        <w:rPr>
          <w:rFonts w:ascii="Verdana" w:hAnsi="Verdana"/>
        </w:rPr>
        <w:t xml:space="preserve"> an action pla</w:t>
      </w:r>
      <w:r w:rsidR="00B92AC1" w:rsidRPr="004325AD">
        <w:rPr>
          <w:rFonts w:ascii="Verdana" w:hAnsi="Verdana"/>
        </w:rPr>
        <w:t xml:space="preserve">n for the remainder of the year. </w:t>
      </w:r>
      <w:r w:rsidR="0004455B" w:rsidRPr="004325AD">
        <w:rPr>
          <w:rFonts w:ascii="Verdana" w:hAnsi="Verdana"/>
        </w:rPr>
        <w:t xml:space="preserve"> </w:t>
      </w:r>
      <w:r w:rsidR="004325AD">
        <w:rPr>
          <w:rFonts w:ascii="Verdana" w:hAnsi="Verdana"/>
        </w:rPr>
        <w:t>Any standards not observed at this point will be discussed and addressed.</w:t>
      </w:r>
    </w:p>
    <w:p w:rsidR="00B92AC1" w:rsidRPr="004325AD" w:rsidRDefault="00B92AC1" w:rsidP="00B92AC1">
      <w:pPr>
        <w:pStyle w:val="ListParagraph"/>
        <w:rPr>
          <w:rFonts w:ascii="Verdana" w:hAnsi="Verdana"/>
        </w:rPr>
      </w:pPr>
    </w:p>
    <w:p w:rsidR="0038660D" w:rsidRPr="00B932CA" w:rsidRDefault="00B92AC1" w:rsidP="00B932CA">
      <w:pPr>
        <w:pStyle w:val="ListParagraph"/>
        <w:numPr>
          <w:ilvl w:val="0"/>
          <w:numId w:val="1"/>
        </w:numPr>
        <w:rPr>
          <w:rFonts w:ascii="Verdana" w:hAnsi="Verdana"/>
        </w:rPr>
      </w:pPr>
      <w:r w:rsidRPr="004325AD">
        <w:rPr>
          <w:rFonts w:ascii="Verdana" w:hAnsi="Verdana"/>
          <w:b/>
          <w:u w:val="single"/>
        </w:rPr>
        <w:t>Site Visit Process-</w:t>
      </w:r>
      <w:r w:rsidRPr="004325AD">
        <w:rPr>
          <w:rFonts w:ascii="Verdana" w:hAnsi="Verdana"/>
        </w:rPr>
        <w:t xml:space="preserve"> </w:t>
      </w:r>
      <w:r w:rsidR="000B514A">
        <w:rPr>
          <w:rFonts w:ascii="Verdana" w:hAnsi="Verdana"/>
        </w:rPr>
        <w:t>See Step #2.</w:t>
      </w:r>
    </w:p>
    <w:p w:rsidR="0038660D" w:rsidRPr="004325AD" w:rsidRDefault="0038660D" w:rsidP="0038660D">
      <w:pPr>
        <w:pStyle w:val="ListParagraph"/>
        <w:rPr>
          <w:rFonts w:ascii="Verdana" w:hAnsi="Verdana"/>
        </w:rPr>
      </w:pPr>
    </w:p>
    <w:p w:rsidR="00B932CA" w:rsidRDefault="004325AD" w:rsidP="00B932CA">
      <w:pPr>
        <w:pStyle w:val="ListParagraph"/>
        <w:numPr>
          <w:ilvl w:val="0"/>
          <w:numId w:val="1"/>
        </w:numPr>
        <w:rPr>
          <w:rFonts w:ascii="Verdana" w:hAnsi="Verdana"/>
        </w:rPr>
      </w:pPr>
      <w:r>
        <w:rPr>
          <w:rFonts w:ascii="Verdana" w:hAnsi="Verdana"/>
          <w:b/>
          <w:u w:val="single"/>
        </w:rPr>
        <w:t xml:space="preserve">Final Evaluation </w:t>
      </w:r>
      <w:proofErr w:type="gramStart"/>
      <w:r w:rsidR="00B92AC1" w:rsidRPr="004325AD">
        <w:rPr>
          <w:rFonts w:ascii="Verdana" w:hAnsi="Verdana"/>
        </w:rPr>
        <w:t>The</w:t>
      </w:r>
      <w:proofErr w:type="gramEnd"/>
      <w:r w:rsidR="00B92AC1" w:rsidRPr="004325AD">
        <w:rPr>
          <w:rFonts w:ascii="Verdana" w:hAnsi="Verdana"/>
        </w:rPr>
        <w:t xml:space="preserve"> Superintendent and principal will have a </w:t>
      </w:r>
      <w:r w:rsidR="003652AB" w:rsidRPr="004325AD">
        <w:rPr>
          <w:rFonts w:ascii="Verdana" w:hAnsi="Verdana"/>
        </w:rPr>
        <w:t xml:space="preserve">formal </w:t>
      </w:r>
      <w:r w:rsidR="00B92AC1" w:rsidRPr="004325AD">
        <w:rPr>
          <w:rFonts w:ascii="Verdana" w:hAnsi="Verdana"/>
        </w:rPr>
        <w:t>face to face meeting to discuss annual performance. The di</w:t>
      </w:r>
      <w:r>
        <w:rPr>
          <w:rFonts w:ascii="Verdana" w:hAnsi="Verdana"/>
        </w:rPr>
        <w:t>scussion will focus on the collaboratively set goals (See Ste</w:t>
      </w:r>
      <w:r w:rsidR="0061730C">
        <w:rPr>
          <w:rFonts w:ascii="Verdana" w:hAnsi="Verdana"/>
        </w:rPr>
        <w:t>p #1) and progress</w:t>
      </w:r>
      <w:r w:rsidR="00B92AC1" w:rsidRPr="004325AD">
        <w:rPr>
          <w:rFonts w:ascii="Verdana" w:hAnsi="Verdana"/>
        </w:rPr>
        <w:t xml:space="preserve"> towards them.  </w:t>
      </w:r>
      <w:r w:rsidR="00B932CA">
        <w:rPr>
          <w:rFonts w:ascii="Verdana" w:hAnsi="Verdana"/>
        </w:rPr>
        <w:t xml:space="preserve">In addition to a review of the observational evidence collected during the site visits, the principal will bring to the </w:t>
      </w:r>
      <w:r w:rsidR="00B932CA">
        <w:rPr>
          <w:rFonts w:ascii="Verdana" w:hAnsi="Verdana"/>
        </w:rPr>
        <w:lastRenderedPageBreak/>
        <w:t xml:space="preserve">meeting any documentation supporting (a) their progress towards goals and (b) their proficiency on the principal rubric.  </w:t>
      </w:r>
      <w:r w:rsidR="0061730C">
        <w:rPr>
          <w:rFonts w:ascii="Verdana" w:hAnsi="Verdana"/>
        </w:rPr>
        <w:t>The S</w:t>
      </w:r>
      <w:r w:rsidR="006F2CEA" w:rsidRPr="004325AD">
        <w:rPr>
          <w:rFonts w:ascii="Verdana" w:hAnsi="Verdana"/>
        </w:rPr>
        <w:t xml:space="preserve">uperintendent </w:t>
      </w:r>
      <w:r w:rsidR="003652AB" w:rsidRPr="004325AD">
        <w:rPr>
          <w:rFonts w:ascii="Verdana" w:hAnsi="Verdana"/>
        </w:rPr>
        <w:t xml:space="preserve">will complete the </w:t>
      </w:r>
      <w:r w:rsidR="00B932CA">
        <w:rPr>
          <w:rFonts w:ascii="Verdana" w:hAnsi="Verdana"/>
        </w:rPr>
        <w:t>principal rubric</w:t>
      </w:r>
      <w:r w:rsidR="0038660D" w:rsidRPr="004325AD">
        <w:rPr>
          <w:rFonts w:ascii="Verdana" w:hAnsi="Verdana"/>
        </w:rPr>
        <w:t xml:space="preserve"> and a s</w:t>
      </w:r>
      <w:r w:rsidR="003652AB" w:rsidRPr="004325AD">
        <w:rPr>
          <w:rFonts w:ascii="Verdana" w:hAnsi="Verdana"/>
        </w:rPr>
        <w:t>ummative score will be given.</w:t>
      </w:r>
    </w:p>
    <w:p w:rsidR="00B92AC1" w:rsidRDefault="00B932CA" w:rsidP="00B932CA">
      <w:pPr>
        <w:ind w:left="720"/>
        <w:rPr>
          <w:rFonts w:ascii="Verdana" w:hAnsi="Verdana"/>
        </w:rPr>
      </w:pPr>
      <w:r w:rsidRPr="00B932CA">
        <w:rPr>
          <w:rFonts w:ascii="Verdana" w:hAnsi="Verdana"/>
        </w:rPr>
        <w:t>A copy of the final evaluation will be provided to the principal within 10 days of the meeting, with an additional copy and supporting documentation placed in the personnel folder.</w:t>
      </w:r>
    </w:p>
    <w:p w:rsidR="000B514A" w:rsidRDefault="000B514A" w:rsidP="00B932CA">
      <w:pPr>
        <w:ind w:left="720"/>
        <w:rPr>
          <w:rFonts w:ascii="Verdana" w:hAnsi="Verdana"/>
        </w:rPr>
      </w:pPr>
      <w:r>
        <w:rPr>
          <w:rFonts w:ascii="Verdana" w:hAnsi="Verdana"/>
        </w:rPr>
        <w:t>Forms related to the Evaluation Process for Other Measures of Effectiveness are located in Appendix ____.</w:t>
      </w:r>
    </w:p>
    <w:p w:rsidR="000B514A" w:rsidRDefault="000B514A" w:rsidP="00B932CA">
      <w:pPr>
        <w:ind w:left="720"/>
        <w:rPr>
          <w:rFonts w:ascii="Verdana" w:hAnsi="Verdana"/>
        </w:rPr>
      </w:pPr>
    </w:p>
    <w:p w:rsidR="000B514A" w:rsidRDefault="000B514A" w:rsidP="00B932CA">
      <w:pPr>
        <w:ind w:left="720"/>
        <w:rPr>
          <w:rFonts w:ascii="Verdana" w:hAnsi="Verdana"/>
          <w:b/>
        </w:rPr>
      </w:pPr>
      <w:r w:rsidRPr="000B514A">
        <w:rPr>
          <w:rFonts w:ascii="Verdana" w:hAnsi="Verdana"/>
          <w:b/>
        </w:rPr>
        <w:t>Student Growth on State Assessments</w:t>
      </w:r>
    </w:p>
    <w:p w:rsidR="000B514A" w:rsidRDefault="000B514A" w:rsidP="00FF6FC8">
      <w:pPr>
        <w:autoSpaceDE w:val="0"/>
        <w:autoSpaceDN w:val="0"/>
        <w:adjustRightInd w:val="0"/>
        <w:spacing w:after="0"/>
        <w:ind w:left="720"/>
        <w:rPr>
          <w:rFonts w:ascii="Verdana" w:hAnsi="Verdana" w:cs="Arial"/>
          <w:szCs w:val="24"/>
        </w:rPr>
      </w:pPr>
      <w:r w:rsidRPr="00FF6FC8">
        <w:rPr>
          <w:rFonts w:ascii="Verdana" w:hAnsi="Verdana" w:cs="Arial"/>
          <w:szCs w:val="24"/>
        </w:rPr>
        <w:t>For school year 2011-2012, 2</w:t>
      </w:r>
      <w:r w:rsidR="00FF6FC8">
        <w:rPr>
          <w:rFonts w:ascii="Verdana" w:hAnsi="Verdana" w:cs="Arial"/>
          <w:szCs w:val="24"/>
        </w:rPr>
        <w:t>0 points of a</w:t>
      </w:r>
      <w:r w:rsidRPr="00FF6FC8">
        <w:rPr>
          <w:rFonts w:ascii="Verdana" w:hAnsi="Verdana" w:cs="Arial"/>
          <w:szCs w:val="24"/>
        </w:rPr>
        <w:t xml:space="preserve"> principal’s composite</w:t>
      </w:r>
      <w:r w:rsidR="00FF6FC8">
        <w:rPr>
          <w:rFonts w:ascii="Verdana" w:hAnsi="Verdana" w:cs="Arial"/>
          <w:szCs w:val="24"/>
        </w:rPr>
        <w:t xml:space="preserve"> </w:t>
      </w:r>
      <w:r w:rsidRPr="00FF6FC8">
        <w:rPr>
          <w:rFonts w:ascii="Verdana" w:hAnsi="Verdana" w:cs="Arial"/>
          <w:szCs w:val="24"/>
        </w:rPr>
        <w:t>effectiveness score shall be based on results of their students’ growth on state</w:t>
      </w:r>
      <w:r w:rsidR="00FF6FC8">
        <w:rPr>
          <w:rFonts w:ascii="Verdana" w:hAnsi="Verdana" w:cs="Arial"/>
          <w:szCs w:val="24"/>
        </w:rPr>
        <w:t xml:space="preserve"> </w:t>
      </w:r>
      <w:r w:rsidRPr="00FF6FC8">
        <w:rPr>
          <w:rFonts w:ascii="Verdana" w:hAnsi="Verdana" w:cs="Arial"/>
          <w:szCs w:val="24"/>
        </w:rPr>
        <w:t>assessments compared to similarly achieving stu</w:t>
      </w:r>
      <w:r w:rsidR="00FF6FC8">
        <w:rPr>
          <w:rFonts w:ascii="Verdana" w:hAnsi="Verdana" w:cs="Arial"/>
          <w:szCs w:val="24"/>
        </w:rPr>
        <w:t xml:space="preserve">dents. The State will select an </w:t>
      </w:r>
      <w:r w:rsidRPr="00FF6FC8">
        <w:rPr>
          <w:rFonts w:ascii="Verdana" w:hAnsi="Verdana" w:cs="Arial"/>
          <w:szCs w:val="24"/>
        </w:rPr>
        <w:t>expert provider through competitive bidding later</w:t>
      </w:r>
      <w:r w:rsidR="00FF6FC8">
        <w:rPr>
          <w:rFonts w:ascii="Verdana" w:hAnsi="Verdana" w:cs="Arial"/>
          <w:szCs w:val="24"/>
        </w:rPr>
        <w:t xml:space="preserve"> in 2011 who will determine how </w:t>
      </w:r>
      <w:r w:rsidRPr="00FF6FC8">
        <w:rPr>
          <w:rFonts w:ascii="Verdana" w:hAnsi="Verdana" w:cs="Arial"/>
          <w:szCs w:val="24"/>
        </w:rPr>
        <w:t xml:space="preserve">to estimate student growth using the state’s </w:t>
      </w:r>
      <w:r w:rsidR="00FF6FC8">
        <w:rPr>
          <w:rFonts w:ascii="Verdana" w:hAnsi="Verdana" w:cs="Arial"/>
          <w:szCs w:val="24"/>
        </w:rPr>
        <w:t xml:space="preserve">existing assessment programs in </w:t>
      </w:r>
      <w:r w:rsidRPr="00FF6FC8">
        <w:rPr>
          <w:rFonts w:ascii="Verdana" w:hAnsi="Verdana" w:cs="Arial"/>
          <w:szCs w:val="24"/>
        </w:rPr>
        <w:t>these subjects and produce the resulting scor</w:t>
      </w:r>
      <w:r w:rsidR="00FF6FC8">
        <w:rPr>
          <w:rFonts w:ascii="Verdana" w:hAnsi="Verdana" w:cs="Arial"/>
          <w:szCs w:val="24"/>
        </w:rPr>
        <w:t xml:space="preserve">es for each educator along with </w:t>
      </w:r>
      <w:r w:rsidRPr="00FF6FC8">
        <w:rPr>
          <w:rFonts w:ascii="Verdana" w:hAnsi="Verdana" w:cs="Arial"/>
          <w:szCs w:val="24"/>
        </w:rPr>
        <w:t>detailed reports that will provide clear and useful information to i</w:t>
      </w:r>
      <w:r w:rsidR="00FF6FC8">
        <w:rPr>
          <w:rFonts w:ascii="Verdana" w:hAnsi="Verdana" w:cs="Arial"/>
          <w:szCs w:val="24"/>
        </w:rPr>
        <w:t xml:space="preserve">nterpret the </w:t>
      </w:r>
      <w:r w:rsidRPr="00FF6FC8">
        <w:rPr>
          <w:rFonts w:ascii="Verdana" w:hAnsi="Verdana" w:cs="Arial"/>
          <w:szCs w:val="24"/>
        </w:rPr>
        <w:t>results.</w:t>
      </w:r>
    </w:p>
    <w:p w:rsidR="00FF6FC8" w:rsidRDefault="00FF6FC8" w:rsidP="00FF6FC8">
      <w:pPr>
        <w:autoSpaceDE w:val="0"/>
        <w:autoSpaceDN w:val="0"/>
        <w:adjustRightInd w:val="0"/>
        <w:spacing w:after="0"/>
        <w:ind w:left="720"/>
        <w:rPr>
          <w:rFonts w:ascii="Verdana" w:hAnsi="Verdana" w:cs="Arial"/>
          <w:szCs w:val="24"/>
        </w:rPr>
      </w:pP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r w:rsidRPr="00FF6FC8">
        <w:rPr>
          <w:rFonts w:ascii="Verdana" w:hAnsi="Verdana" w:cs="Arial"/>
          <w:sz w:val="24"/>
          <w:szCs w:val="24"/>
        </w:rPr>
        <w:t>The state will then assign a score of 0-20 points for this subcomponent, which</w:t>
      </w:r>
    </w:p>
    <w:p w:rsidR="00FF6FC8" w:rsidRPr="00FF6FC8" w:rsidRDefault="00FF6FC8" w:rsidP="00FF6FC8">
      <w:pPr>
        <w:autoSpaceDE w:val="0"/>
        <w:autoSpaceDN w:val="0"/>
        <w:adjustRightInd w:val="0"/>
        <w:spacing w:after="0" w:line="240" w:lineRule="auto"/>
        <w:ind w:left="720"/>
        <w:rPr>
          <w:rFonts w:ascii="Verdana" w:hAnsi="Verdana" w:cs="Arial"/>
          <w:sz w:val="24"/>
          <w:szCs w:val="24"/>
        </w:rPr>
      </w:pPr>
      <w:proofErr w:type="gramStart"/>
      <w:r w:rsidRPr="00FF6FC8">
        <w:rPr>
          <w:rFonts w:ascii="Verdana" w:hAnsi="Verdana" w:cs="Arial"/>
          <w:sz w:val="24"/>
          <w:szCs w:val="24"/>
        </w:rPr>
        <w:t>will</w:t>
      </w:r>
      <w:proofErr w:type="gramEnd"/>
      <w:r w:rsidRPr="00FF6FC8">
        <w:rPr>
          <w:rFonts w:ascii="Verdana" w:hAnsi="Verdana" w:cs="Arial"/>
          <w:sz w:val="24"/>
          <w:szCs w:val="24"/>
        </w:rPr>
        <w:t xml:space="preserve"> contribute to the educator’s composite effectiveness score using the</w:t>
      </w:r>
      <w:r>
        <w:rPr>
          <w:rFonts w:ascii="Verdana" w:hAnsi="Verdana" w:cs="Arial"/>
          <w:sz w:val="24"/>
          <w:szCs w:val="24"/>
        </w:rPr>
        <w:t xml:space="preserve"> </w:t>
      </w:r>
      <w:r w:rsidRPr="00FF6FC8">
        <w:rPr>
          <w:rFonts w:ascii="Verdana" w:hAnsi="Verdana" w:cs="Arial"/>
          <w:sz w:val="24"/>
          <w:szCs w:val="24"/>
        </w:rPr>
        <w:t>standards and scoring ranges for this subcomponent as prescribed in the</w:t>
      </w:r>
      <w:r>
        <w:rPr>
          <w:rFonts w:ascii="Verdana" w:hAnsi="Verdana" w:cs="Arial"/>
          <w:sz w:val="24"/>
          <w:szCs w:val="24"/>
        </w:rPr>
        <w:t xml:space="preserve"> </w:t>
      </w:r>
      <w:r w:rsidRPr="00FF6FC8">
        <w:rPr>
          <w:rFonts w:ascii="Verdana" w:hAnsi="Verdana" w:cs="Arial"/>
          <w:sz w:val="24"/>
          <w:szCs w:val="24"/>
        </w:rPr>
        <w:t>regulation.</w:t>
      </w:r>
    </w:p>
    <w:p w:rsidR="00FF6FC8" w:rsidRDefault="00FF6FC8" w:rsidP="00FF6FC8">
      <w:pPr>
        <w:autoSpaceDE w:val="0"/>
        <w:autoSpaceDN w:val="0"/>
        <w:adjustRightInd w:val="0"/>
        <w:spacing w:after="0"/>
        <w:ind w:left="720"/>
        <w:rPr>
          <w:rFonts w:ascii="Verdana" w:hAnsi="Verdana" w:cs="Arial"/>
          <w:szCs w:val="24"/>
        </w:rPr>
      </w:pP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r w:rsidRPr="00FF6FC8">
        <w:rPr>
          <w:rFonts w:ascii="Verdana" w:hAnsi="Verdana" w:cs="Arial"/>
          <w:sz w:val="24"/>
          <w:szCs w:val="24"/>
        </w:rPr>
        <w:t>If the Board of Regents approves the use of a “value-added model” for 2012-13</w:t>
      </w: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proofErr w:type="gramStart"/>
      <w:r w:rsidRPr="00FF6FC8">
        <w:rPr>
          <w:rFonts w:ascii="Verdana" w:hAnsi="Verdana" w:cs="Arial"/>
          <w:sz w:val="24"/>
          <w:szCs w:val="24"/>
        </w:rPr>
        <w:t>or</w:t>
      </w:r>
      <w:proofErr w:type="gramEnd"/>
      <w:r w:rsidRPr="00FF6FC8">
        <w:rPr>
          <w:rFonts w:ascii="Verdana" w:hAnsi="Verdana" w:cs="Arial"/>
          <w:sz w:val="24"/>
          <w:szCs w:val="24"/>
        </w:rPr>
        <w:t xml:space="preserve"> later years, educators will receive from 0-25 points on their evaluations based</w:t>
      </w: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proofErr w:type="gramStart"/>
      <w:r w:rsidRPr="00FF6FC8">
        <w:rPr>
          <w:rFonts w:ascii="Verdana" w:hAnsi="Verdana" w:cs="Arial"/>
          <w:sz w:val="24"/>
          <w:szCs w:val="24"/>
        </w:rPr>
        <w:t>on</w:t>
      </w:r>
      <w:proofErr w:type="gramEnd"/>
      <w:r w:rsidRPr="00FF6FC8">
        <w:rPr>
          <w:rFonts w:ascii="Verdana" w:hAnsi="Verdana" w:cs="Arial"/>
          <w:sz w:val="24"/>
          <w:szCs w:val="24"/>
        </w:rPr>
        <w:t xml:space="preserve"> their teacher or principal value-added (VA) score. As with the “growth score”,</w:t>
      </w: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proofErr w:type="gramStart"/>
      <w:r w:rsidRPr="00FF6FC8">
        <w:rPr>
          <w:rFonts w:ascii="Verdana" w:hAnsi="Verdana" w:cs="Arial"/>
          <w:sz w:val="24"/>
          <w:szCs w:val="24"/>
        </w:rPr>
        <w:t>the</w:t>
      </w:r>
      <w:proofErr w:type="gramEnd"/>
      <w:r w:rsidRPr="00FF6FC8">
        <w:rPr>
          <w:rFonts w:ascii="Verdana" w:hAnsi="Verdana" w:cs="Arial"/>
          <w:sz w:val="24"/>
          <w:szCs w:val="24"/>
        </w:rPr>
        <w:t xml:space="preserve"> State plans to calculate, where possible, a student growth percentile for each</w:t>
      </w: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proofErr w:type="gramStart"/>
      <w:r w:rsidRPr="00FF6FC8">
        <w:rPr>
          <w:rFonts w:ascii="Verdana" w:hAnsi="Verdana" w:cs="Arial"/>
          <w:sz w:val="24"/>
          <w:szCs w:val="24"/>
        </w:rPr>
        <w:t>student</w:t>
      </w:r>
      <w:proofErr w:type="gramEnd"/>
      <w:r w:rsidRPr="00FF6FC8">
        <w:rPr>
          <w:rFonts w:ascii="Verdana" w:hAnsi="Verdana" w:cs="Arial"/>
          <w:sz w:val="24"/>
          <w:szCs w:val="24"/>
        </w:rPr>
        <w:t xml:space="preserve"> comparing the progress each student makes each year on the applicable</w:t>
      </w:r>
    </w:p>
    <w:p w:rsidR="00FF6FC8" w:rsidRPr="00FF6FC8" w:rsidRDefault="00FF6FC8" w:rsidP="00FF6FC8">
      <w:pPr>
        <w:autoSpaceDE w:val="0"/>
        <w:autoSpaceDN w:val="0"/>
        <w:adjustRightInd w:val="0"/>
        <w:spacing w:after="0" w:line="240" w:lineRule="auto"/>
        <w:ind w:firstLine="720"/>
        <w:rPr>
          <w:rFonts w:ascii="Verdana" w:hAnsi="Verdana" w:cs="Arial"/>
          <w:sz w:val="24"/>
          <w:szCs w:val="24"/>
        </w:rPr>
      </w:pPr>
      <w:r w:rsidRPr="00FF6FC8">
        <w:rPr>
          <w:rFonts w:ascii="Verdana" w:hAnsi="Verdana" w:cs="Arial"/>
          <w:sz w:val="24"/>
          <w:szCs w:val="24"/>
        </w:rPr>
        <w:t>State assessments to the progress of other students in that grade/subject with</w:t>
      </w:r>
    </w:p>
    <w:p w:rsidR="00FF6FC8" w:rsidRDefault="00FF6FC8" w:rsidP="00FF6FC8">
      <w:pPr>
        <w:autoSpaceDE w:val="0"/>
        <w:autoSpaceDN w:val="0"/>
        <w:adjustRightInd w:val="0"/>
        <w:spacing w:after="0"/>
        <w:ind w:left="720"/>
        <w:rPr>
          <w:rFonts w:ascii="Verdana" w:hAnsi="Verdana" w:cs="Arial"/>
          <w:sz w:val="24"/>
          <w:szCs w:val="24"/>
        </w:rPr>
      </w:pPr>
      <w:proofErr w:type="gramStart"/>
      <w:r w:rsidRPr="00FF6FC8">
        <w:rPr>
          <w:rFonts w:ascii="Verdana" w:hAnsi="Verdana" w:cs="Arial"/>
          <w:sz w:val="24"/>
          <w:szCs w:val="24"/>
        </w:rPr>
        <w:t>similar</w:t>
      </w:r>
      <w:proofErr w:type="gramEnd"/>
      <w:r w:rsidRPr="00FF6FC8">
        <w:rPr>
          <w:rFonts w:ascii="Verdana" w:hAnsi="Verdana" w:cs="Arial"/>
          <w:sz w:val="24"/>
          <w:szCs w:val="24"/>
        </w:rPr>
        <w:t xml:space="preserve"> past achievement on New York State assessments.</w:t>
      </w:r>
    </w:p>
    <w:p w:rsidR="00FF6FC8" w:rsidRDefault="00FF6FC8" w:rsidP="00FF6FC8">
      <w:pPr>
        <w:autoSpaceDE w:val="0"/>
        <w:autoSpaceDN w:val="0"/>
        <w:adjustRightInd w:val="0"/>
        <w:spacing w:after="0"/>
        <w:ind w:left="720"/>
        <w:rPr>
          <w:rFonts w:ascii="Verdana" w:hAnsi="Verdana" w:cs="Arial"/>
          <w:sz w:val="24"/>
          <w:szCs w:val="24"/>
        </w:rPr>
      </w:pPr>
    </w:p>
    <w:p w:rsidR="00FF6FC8" w:rsidRDefault="00FF6FC8" w:rsidP="00FF6FC8">
      <w:pPr>
        <w:autoSpaceDE w:val="0"/>
        <w:autoSpaceDN w:val="0"/>
        <w:adjustRightInd w:val="0"/>
        <w:spacing w:after="0"/>
        <w:ind w:left="720"/>
        <w:rPr>
          <w:rFonts w:ascii="Verdana" w:hAnsi="Verdana" w:cs="Arial"/>
          <w:b/>
          <w:sz w:val="24"/>
          <w:szCs w:val="24"/>
        </w:rPr>
      </w:pPr>
      <w:r w:rsidRPr="00FF6FC8">
        <w:rPr>
          <w:rFonts w:ascii="Verdana" w:hAnsi="Verdana" w:cs="Arial"/>
          <w:b/>
          <w:sz w:val="24"/>
          <w:szCs w:val="24"/>
        </w:rPr>
        <w:t>Locally Selected Measures of Student Achievement</w:t>
      </w:r>
    </w:p>
    <w:p w:rsidR="00FF6FC8" w:rsidRDefault="00FF6FC8" w:rsidP="00FF6FC8">
      <w:pPr>
        <w:autoSpaceDE w:val="0"/>
        <w:autoSpaceDN w:val="0"/>
        <w:adjustRightInd w:val="0"/>
        <w:spacing w:after="0"/>
        <w:ind w:left="720"/>
        <w:rPr>
          <w:rFonts w:ascii="Verdana" w:hAnsi="Verdana" w:cs="Arial"/>
          <w:b/>
          <w:sz w:val="24"/>
          <w:szCs w:val="24"/>
        </w:rPr>
      </w:pPr>
    </w:p>
    <w:p w:rsidR="00FF6FC8" w:rsidRDefault="00FF6FC8" w:rsidP="00FF6FC8">
      <w:pPr>
        <w:pStyle w:val="Default"/>
        <w:ind w:left="720"/>
        <w:rPr>
          <w:rFonts w:ascii="Verdana" w:hAnsi="Verdana"/>
          <w:sz w:val="22"/>
          <w:szCs w:val="28"/>
        </w:rPr>
      </w:pPr>
      <w:r w:rsidRPr="004B3784">
        <w:rPr>
          <w:rFonts w:ascii="Verdana" w:hAnsi="Verdana"/>
          <w:sz w:val="22"/>
          <w:szCs w:val="28"/>
        </w:rPr>
        <w:t>Sections 3012-c(2)(e)(</w:t>
      </w:r>
      <w:r>
        <w:rPr>
          <w:rFonts w:ascii="Verdana" w:hAnsi="Verdana"/>
          <w:sz w:val="22"/>
          <w:szCs w:val="28"/>
        </w:rPr>
        <w:t>ii) and (f)(ii) require that a score of 0-20</w:t>
      </w:r>
      <w:r w:rsidRPr="004B3784">
        <w:rPr>
          <w:rFonts w:ascii="Verdana" w:hAnsi="Verdana"/>
          <w:sz w:val="22"/>
          <w:szCs w:val="28"/>
        </w:rPr>
        <w:t xml:space="preserve"> be </w:t>
      </w:r>
      <w:r>
        <w:rPr>
          <w:rFonts w:ascii="Verdana" w:hAnsi="Verdana"/>
          <w:sz w:val="22"/>
          <w:szCs w:val="28"/>
        </w:rPr>
        <w:t xml:space="preserve">assigned and </w:t>
      </w:r>
      <w:r w:rsidRPr="004B3784">
        <w:rPr>
          <w:rFonts w:ascii="Verdana" w:hAnsi="Verdana"/>
          <w:sz w:val="22"/>
          <w:szCs w:val="28"/>
        </w:rPr>
        <w:t xml:space="preserve">based </w:t>
      </w:r>
      <w:r>
        <w:rPr>
          <w:rFonts w:ascii="Verdana" w:hAnsi="Verdana"/>
          <w:sz w:val="22"/>
          <w:szCs w:val="28"/>
        </w:rPr>
        <w:t>up</w:t>
      </w:r>
      <w:r w:rsidRPr="004B3784">
        <w:rPr>
          <w:rFonts w:ascii="Verdana" w:hAnsi="Verdana"/>
          <w:sz w:val="22"/>
          <w:szCs w:val="28"/>
        </w:rPr>
        <w:t xml:space="preserve">on other locally selected measures of student achievement that are determined to be rigorous and comparable across classrooms in accordance with the Commissioner’s regulations. </w:t>
      </w:r>
    </w:p>
    <w:p w:rsidR="00FF6FC8" w:rsidRDefault="00FF6FC8" w:rsidP="00FF6FC8">
      <w:pPr>
        <w:pStyle w:val="Default"/>
        <w:rPr>
          <w:rFonts w:ascii="Verdana" w:hAnsi="Verdana"/>
          <w:sz w:val="22"/>
          <w:szCs w:val="28"/>
        </w:rPr>
      </w:pPr>
    </w:p>
    <w:p w:rsidR="00FF6FC8" w:rsidRDefault="00FF6FC8" w:rsidP="00FF6FC8">
      <w:pPr>
        <w:pStyle w:val="Default"/>
        <w:ind w:left="720"/>
        <w:rPr>
          <w:rFonts w:ascii="Verdana" w:hAnsi="Verdana"/>
          <w:b/>
          <w:sz w:val="22"/>
          <w:szCs w:val="28"/>
        </w:rPr>
      </w:pPr>
      <w:r>
        <w:rPr>
          <w:rFonts w:ascii="Verdana" w:hAnsi="Verdana"/>
          <w:b/>
          <w:sz w:val="22"/>
          <w:szCs w:val="28"/>
        </w:rPr>
        <w:t>The district is currently in negotiations related to the procedures for selecting the local measures of student achievement, including the persons or committees charged with selection of the assessment measures and the determination of the determination of how the points will be assigned.  Upon completion of negotiations, this section will be updated.</w:t>
      </w:r>
    </w:p>
    <w:p w:rsidR="00B92E4B" w:rsidRDefault="00B92E4B" w:rsidP="00FF6FC8">
      <w:pPr>
        <w:pStyle w:val="Default"/>
        <w:ind w:left="720"/>
        <w:rPr>
          <w:rFonts w:ascii="Verdana" w:hAnsi="Verdana"/>
          <w:b/>
          <w:sz w:val="22"/>
          <w:szCs w:val="28"/>
        </w:rPr>
      </w:pPr>
    </w:p>
    <w:p w:rsidR="00B92E4B" w:rsidRDefault="00B92E4B" w:rsidP="00B92E4B">
      <w:pPr>
        <w:rPr>
          <w:rFonts w:ascii="Verdana" w:hAnsi="Verdana"/>
          <w:b/>
        </w:rPr>
      </w:pPr>
      <w:r w:rsidRPr="00AE7F25">
        <w:rPr>
          <w:rFonts w:ascii="Verdana" w:hAnsi="Verdana"/>
          <w:b/>
        </w:rPr>
        <w:lastRenderedPageBreak/>
        <w:t>Appeal Process</w:t>
      </w:r>
    </w:p>
    <w:p w:rsidR="00B92E4B" w:rsidRPr="00AE7F25" w:rsidRDefault="00B92E4B" w:rsidP="00B92E4B">
      <w:pPr>
        <w:autoSpaceDE w:val="0"/>
        <w:autoSpaceDN w:val="0"/>
        <w:adjustRightInd w:val="0"/>
        <w:spacing w:after="0" w:line="240" w:lineRule="auto"/>
        <w:rPr>
          <w:rFonts w:ascii="Verdana" w:hAnsi="Verdana" w:cs="Arial"/>
          <w:color w:val="000000"/>
          <w:sz w:val="24"/>
          <w:szCs w:val="23"/>
        </w:rPr>
      </w:pPr>
      <w:r w:rsidRPr="00AE7F25">
        <w:rPr>
          <w:rFonts w:ascii="Verdana" w:hAnsi="Verdana" w:cs="Arial"/>
          <w:color w:val="000000"/>
          <w:sz w:val="24"/>
          <w:szCs w:val="23"/>
        </w:rPr>
        <w:t>Section 3012-c of the Education Law establishes a comprehensive annual evaluation system for building principals, as well as the issuance and implementation of improvement plans for principals whose performance is assessed as either developing or ineffective</w:t>
      </w:r>
    </w:p>
    <w:p w:rsidR="00B92E4B" w:rsidRPr="00AE7F25" w:rsidRDefault="00B92E4B" w:rsidP="00B92E4B">
      <w:pPr>
        <w:autoSpaceDE w:val="0"/>
        <w:autoSpaceDN w:val="0"/>
        <w:adjustRightInd w:val="0"/>
        <w:spacing w:after="0" w:line="240" w:lineRule="auto"/>
        <w:rPr>
          <w:rFonts w:ascii="Verdana" w:hAnsi="Verdana" w:cs="Arial"/>
          <w:color w:val="000000"/>
          <w:sz w:val="24"/>
          <w:szCs w:val="23"/>
        </w:rPr>
      </w:pPr>
    </w:p>
    <w:p w:rsidR="00B92E4B" w:rsidRPr="00AE7F25" w:rsidRDefault="00B92E4B" w:rsidP="00B92E4B">
      <w:pPr>
        <w:autoSpaceDE w:val="0"/>
        <w:autoSpaceDN w:val="0"/>
        <w:adjustRightInd w:val="0"/>
        <w:spacing w:after="0" w:line="240" w:lineRule="auto"/>
        <w:rPr>
          <w:rFonts w:ascii="Verdana" w:hAnsi="Verdana" w:cs="Arial"/>
          <w:color w:val="000000"/>
          <w:sz w:val="24"/>
          <w:szCs w:val="23"/>
        </w:rPr>
      </w:pPr>
      <w:r>
        <w:rPr>
          <w:rFonts w:ascii="Verdana" w:hAnsi="Verdana" w:cs="Arial"/>
          <w:color w:val="000000"/>
          <w:sz w:val="24"/>
          <w:szCs w:val="23"/>
        </w:rPr>
        <w:t>To the extent that a principal</w:t>
      </w:r>
      <w:r w:rsidRPr="00AE7F25">
        <w:rPr>
          <w:rFonts w:ascii="Verdana" w:hAnsi="Verdana" w:cs="Arial"/>
          <w:color w:val="000000"/>
          <w:sz w:val="24"/>
          <w:szCs w:val="23"/>
        </w:rPr>
        <w:t xml:space="preserve"> wishes to challenge a performance review and/or improvement plan under the new evaluation system, the law requires the establishment of an appeals procedure, the specifics of which are to be locally negotiated pursuant to article XIV of the Civil Service Law. </w:t>
      </w:r>
    </w:p>
    <w:p w:rsidR="00B92E4B" w:rsidRDefault="00B92E4B" w:rsidP="00B92E4B">
      <w:pPr>
        <w:autoSpaceDE w:val="0"/>
        <w:autoSpaceDN w:val="0"/>
        <w:adjustRightInd w:val="0"/>
        <w:spacing w:after="0" w:line="240" w:lineRule="auto"/>
        <w:rPr>
          <w:rFonts w:ascii="Arial" w:hAnsi="Arial" w:cs="Arial"/>
          <w:color w:val="000000"/>
          <w:sz w:val="23"/>
          <w:szCs w:val="23"/>
        </w:rPr>
      </w:pPr>
    </w:p>
    <w:p w:rsidR="00B92E4B" w:rsidRDefault="00B92E4B" w:rsidP="00B92E4B">
      <w:pPr>
        <w:pStyle w:val="Default"/>
        <w:rPr>
          <w:rFonts w:ascii="Verdana" w:hAnsi="Verdana"/>
          <w:b/>
          <w:sz w:val="22"/>
          <w:szCs w:val="28"/>
        </w:rPr>
      </w:pPr>
      <w:r>
        <w:rPr>
          <w:rFonts w:ascii="Verdana" w:hAnsi="Verdana"/>
          <w:b/>
          <w:sz w:val="22"/>
          <w:szCs w:val="28"/>
        </w:rPr>
        <w:t>The district is currently in negotiations related to the appeal process.  Upon completion of negotiations, this section will be updated.</w:t>
      </w:r>
    </w:p>
    <w:p w:rsidR="00B92E4B" w:rsidRDefault="00B92E4B" w:rsidP="00FF6FC8">
      <w:pPr>
        <w:pStyle w:val="Default"/>
        <w:ind w:left="720"/>
        <w:rPr>
          <w:rFonts w:ascii="Verdana" w:hAnsi="Verdana"/>
          <w:b/>
          <w:sz w:val="22"/>
          <w:szCs w:val="28"/>
        </w:rPr>
      </w:pPr>
    </w:p>
    <w:p w:rsidR="00FF6FC8" w:rsidRPr="00FF6FC8" w:rsidRDefault="00FF6FC8" w:rsidP="00FF6FC8">
      <w:pPr>
        <w:autoSpaceDE w:val="0"/>
        <w:autoSpaceDN w:val="0"/>
        <w:adjustRightInd w:val="0"/>
        <w:spacing w:after="0"/>
        <w:ind w:left="720"/>
        <w:rPr>
          <w:rFonts w:ascii="Verdana" w:hAnsi="Verdana" w:cs="Arial"/>
          <w:b/>
          <w:szCs w:val="24"/>
        </w:rPr>
      </w:pPr>
    </w:p>
    <w:sectPr w:rsidR="00FF6FC8" w:rsidRPr="00FF6FC8" w:rsidSect="004325AD">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E9E" w:rsidRDefault="00437E9E" w:rsidP="00B932CA">
      <w:pPr>
        <w:spacing w:after="0" w:line="240" w:lineRule="auto"/>
      </w:pPr>
      <w:r>
        <w:separator/>
      </w:r>
    </w:p>
  </w:endnote>
  <w:endnote w:type="continuationSeparator" w:id="0">
    <w:p w:rsidR="00437E9E" w:rsidRDefault="00437E9E" w:rsidP="00B93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CA" w:rsidRDefault="00B932CA">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T.Gray</w:t>
    </w:r>
    <w:proofErr w:type="spellEnd"/>
    <w:r>
      <w:rPr>
        <w:rFonts w:asciiTheme="majorHAnsi" w:eastAsiaTheme="majorEastAsia" w:hAnsiTheme="majorHAnsi" w:cstheme="majorBidi"/>
      </w:rPr>
      <w:t>/IES (E2CCB</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335DCA" w:rsidRPr="00335DC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B932CA" w:rsidRDefault="00B932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E9E" w:rsidRDefault="00437E9E" w:rsidP="00B932CA">
      <w:pPr>
        <w:spacing w:after="0" w:line="240" w:lineRule="auto"/>
      </w:pPr>
      <w:r>
        <w:separator/>
      </w:r>
    </w:p>
  </w:footnote>
  <w:footnote w:type="continuationSeparator" w:id="0">
    <w:p w:rsidR="00437E9E" w:rsidRDefault="00437E9E" w:rsidP="00B932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4305"/>
    <w:multiLevelType w:val="hybridMultilevel"/>
    <w:tmpl w:val="93581FE0"/>
    <w:lvl w:ilvl="0" w:tplc="08621BC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B74E90"/>
    <w:multiLevelType w:val="hybridMultilevel"/>
    <w:tmpl w:val="1BEED046"/>
    <w:lvl w:ilvl="0" w:tplc="DCCAE04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EC3FBC"/>
    <w:multiLevelType w:val="hybridMultilevel"/>
    <w:tmpl w:val="2F286CBE"/>
    <w:lvl w:ilvl="0" w:tplc="287810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6032E5"/>
    <w:multiLevelType w:val="hybridMultilevel"/>
    <w:tmpl w:val="E4F2B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55B"/>
    <w:rsid w:val="000364A8"/>
    <w:rsid w:val="0004455B"/>
    <w:rsid w:val="000B514A"/>
    <w:rsid w:val="00116E1D"/>
    <w:rsid w:val="00132AC7"/>
    <w:rsid w:val="00151AA1"/>
    <w:rsid w:val="001D5C10"/>
    <w:rsid w:val="00335DCA"/>
    <w:rsid w:val="003652AB"/>
    <w:rsid w:val="0038660D"/>
    <w:rsid w:val="0038709A"/>
    <w:rsid w:val="004325AD"/>
    <w:rsid w:val="00437E9E"/>
    <w:rsid w:val="0061730C"/>
    <w:rsid w:val="006D2E70"/>
    <w:rsid w:val="006F2CEA"/>
    <w:rsid w:val="00793B74"/>
    <w:rsid w:val="008C6650"/>
    <w:rsid w:val="0093706D"/>
    <w:rsid w:val="00960934"/>
    <w:rsid w:val="009E637C"/>
    <w:rsid w:val="00AA16A0"/>
    <w:rsid w:val="00AE4F28"/>
    <w:rsid w:val="00B92AC1"/>
    <w:rsid w:val="00B92E4B"/>
    <w:rsid w:val="00B932CA"/>
    <w:rsid w:val="00E00B0A"/>
    <w:rsid w:val="00E1692F"/>
    <w:rsid w:val="00FF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B"/>
    <w:pPr>
      <w:ind w:left="720"/>
      <w:contextualSpacing/>
    </w:pPr>
  </w:style>
  <w:style w:type="paragraph" w:styleId="Header">
    <w:name w:val="header"/>
    <w:basedOn w:val="Normal"/>
    <w:link w:val="HeaderChar"/>
    <w:uiPriority w:val="99"/>
    <w:unhideWhenUsed/>
    <w:rsid w:val="00B9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CA"/>
  </w:style>
  <w:style w:type="paragraph" w:styleId="Footer">
    <w:name w:val="footer"/>
    <w:basedOn w:val="Normal"/>
    <w:link w:val="FooterChar"/>
    <w:uiPriority w:val="99"/>
    <w:unhideWhenUsed/>
    <w:rsid w:val="00B9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CA"/>
  </w:style>
  <w:style w:type="paragraph" w:styleId="BalloonText">
    <w:name w:val="Balloon Text"/>
    <w:basedOn w:val="Normal"/>
    <w:link w:val="BalloonTextChar"/>
    <w:uiPriority w:val="99"/>
    <w:semiHidden/>
    <w:unhideWhenUsed/>
    <w:rsid w:val="00B9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CA"/>
    <w:rPr>
      <w:rFonts w:ascii="Tahoma" w:hAnsi="Tahoma" w:cs="Tahoma"/>
      <w:sz w:val="16"/>
      <w:szCs w:val="16"/>
    </w:rPr>
  </w:style>
  <w:style w:type="table" w:styleId="TableGrid">
    <w:name w:val="Table Grid"/>
    <w:basedOn w:val="TableNormal"/>
    <w:uiPriority w:val="59"/>
    <w:rsid w:val="00116E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4"/>
    <w:rPr>
      <w:color w:val="0000FF" w:themeColor="hyperlink"/>
      <w:u w:val="single"/>
    </w:rPr>
  </w:style>
  <w:style w:type="paragraph" w:customStyle="1" w:styleId="Default">
    <w:name w:val="Default"/>
    <w:rsid w:val="00FF6FC8"/>
    <w:pPr>
      <w:autoSpaceDE w:val="0"/>
      <w:autoSpaceDN w:val="0"/>
      <w:adjustRightInd w:val="0"/>
      <w:spacing w:after="0" w:line="240" w:lineRule="auto"/>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55B"/>
    <w:pPr>
      <w:ind w:left="720"/>
      <w:contextualSpacing/>
    </w:pPr>
  </w:style>
  <w:style w:type="paragraph" w:styleId="Header">
    <w:name w:val="header"/>
    <w:basedOn w:val="Normal"/>
    <w:link w:val="HeaderChar"/>
    <w:uiPriority w:val="99"/>
    <w:unhideWhenUsed/>
    <w:rsid w:val="00B93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2CA"/>
  </w:style>
  <w:style w:type="paragraph" w:styleId="Footer">
    <w:name w:val="footer"/>
    <w:basedOn w:val="Normal"/>
    <w:link w:val="FooterChar"/>
    <w:uiPriority w:val="99"/>
    <w:unhideWhenUsed/>
    <w:rsid w:val="00B93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2CA"/>
  </w:style>
  <w:style w:type="paragraph" w:styleId="BalloonText">
    <w:name w:val="Balloon Text"/>
    <w:basedOn w:val="Normal"/>
    <w:link w:val="BalloonTextChar"/>
    <w:uiPriority w:val="99"/>
    <w:semiHidden/>
    <w:unhideWhenUsed/>
    <w:rsid w:val="00B93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2CA"/>
    <w:rPr>
      <w:rFonts w:ascii="Tahoma" w:hAnsi="Tahoma" w:cs="Tahoma"/>
      <w:sz w:val="16"/>
      <w:szCs w:val="16"/>
    </w:rPr>
  </w:style>
  <w:style w:type="table" w:styleId="TableGrid">
    <w:name w:val="Table Grid"/>
    <w:basedOn w:val="TableNormal"/>
    <w:uiPriority w:val="59"/>
    <w:rsid w:val="00116E1D"/>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93B74"/>
    <w:rPr>
      <w:color w:val="0000FF" w:themeColor="hyperlink"/>
      <w:u w:val="single"/>
    </w:rPr>
  </w:style>
  <w:style w:type="paragraph" w:customStyle="1" w:styleId="Default">
    <w:name w:val="Default"/>
    <w:rsid w:val="00FF6FC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sny.nysed.gov/rttt/teachers-leaders/practicerubrics/"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61BC3A-7710-4AF1-AD66-1C35FB085E76}"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6D5B587C-8B1E-4658-A93D-18E070BF4639}">
      <dgm:prSet phldrT="[Text]"/>
      <dgm:spPr/>
      <dgm:t>
        <a:bodyPr/>
        <a:lstStyle/>
        <a:p>
          <a:r>
            <a:rPr lang="en-US"/>
            <a:t>Other Effective Measures (60 points)</a:t>
          </a:r>
        </a:p>
      </dgm:t>
    </dgm:pt>
    <dgm:pt modelId="{D807378B-5681-4B7F-99B6-3DF1FD5F7C87}" type="parTrans" cxnId="{6B67861F-8071-4D8B-BB32-51AA30E56CDD}">
      <dgm:prSet/>
      <dgm:spPr/>
      <dgm:t>
        <a:bodyPr/>
        <a:lstStyle/>
        <a:p>
          <a:endParaRPr lang="en-US"/>
        </a:p>
      </dgm:t>
    </dgm:pt>
    <dgm:pt modelId="{8A153B47-B655-4493-88D8-781A5B671ACE}" type="sibTrans" cxnId="{6B67861F-8071-4D8B-BB32-51AA30E56CDD}">
      <dgm:prSet/>
      <dgm:spPr/>
      <dgm:t>
        <a:bodyPr/>
        <a:lstStyle/>
        <a:p>
          <a:endParaRPr lang="en-US"/>
        </a:p>
      </dgm:t>
    </dgm:pt>
    <dgm:pt modelId="{6D71DB08-3025-403C-8B04-065634461AD0}">
      <dgm:prSet phldrT="[Text]"/>
      <dgm:spPr/>
      <dgm:t>
        <a:bodyPr/>
        <a:lstStyle/>
        <a:p>
          <a:r>
            <a:rPr lang="en-US"/>
            <a:t>Goal Setting</a:t>
          </a:r>
        </a:p>
      </dgm:t>
    </dgm:pt>
    <dgm:pt modelId="{50823CDE-2C09-4B90-94B8-5499B4573EC8}" type="parTrans" cxnId="{F4C23A8C-B078-4295-B57B-2FA44B81928A}">
      <dgm:prSet/>
      <dgm:spPr/>
      <dgm:t>
        <a:bodyPr/>
        <a:lstStyle/>
        <a:p>
          <a:endParaRPr lang="en-US"/>
        </a:p>
      </dgm:t>
    </dgm:pt>
    <dgm:pt modelId="{DFB8B5B8-6A5F-4F30-BC3A-BD36DF2FDFF2}" type="sibTrans" cxnId="{F4C23A8C-B078-4295-B57B-2FA44B81928A}">
      <dgm:prSet/>
      <dgm:spPr/>
      <dgm:t>
        <a:bodyPr/>
        <a:lstStyle/>
        <a:p>
          <a:endParaRPr lang="en-US"/>
        </a:p>
      </dgm:t>
    </dgm:pt>
    <dgm:pt modelId="{82B3F49D-BA07-4F9F-AFA2-FE572E0B92B6}">
      <dgm:prSet phldrT="[Text]"/>
      <dgm:spPr/>
      <dgm:t>
        <a:bodyPr/>
        <a:lstStyle/>
        <a:p>
          <a:r>
            <a:rPr lang="en-US"/>
            <a:t>Site Visit #1</a:t>
          </a:r>
        </a:p>
      </dgm:t>
    </dgm:pt>
    <dgm:pt modelId="{3AEAA637-CDB1-4DEA-B729-79BCA31E7AB6}" type="parTrans" cxnId="{26058D99-80F9-4880-A6F5-E9D56722E862}">
      <dgm:prSet/>
      <dgm:spPr/>
      <dgm:t>
        <a:bodyPr/>
        <a:lstStyle/>
        <a:p>
          <a:endParaRPr lang="en-US"/>
        </a:p>
      </dgm:t>
    </dgm:pt>
    <dgm:pt modelId="{AA4AB0A8-A90B-4449-88D5-DFE6B74EBB1E}" type="sibTrans" cxnId="{26058D99-80F9-4880-A6F5-E9D56722E862}">
      <dgm:prSet/>
      <dgm:spPr/>
      <dgm:t>
        <a:bodyPr/>
        <a:lstStyle/>
        <a:p>
          <a:endParaRPr lang="en-US"/>
        </a:p>
      </dgm:t>
    </dgm:pt>
    <dgm:pt modelId="{FBC8A1DB-4E32-435A-8F9B-16BD9EA0AE33}">
      <dgm:prSet phldrT="[Text]"/>
      <dgm:spPr/>
      <dgm:t>
        <a:bodyPr/>
        <a:lstStyle/>
        <a:p>
          <a:r>
            <a:rPr lang="en-US"/>
            <a:t>Formative Mid-Year Meeting</a:t>
          </a:r>
        </a:p>
      </dgm:t>
    </dgm:pt>
    <dgm:pt modelId="{F2F01E35-E394-40C4-9EA1-FC7130BE304D}" type="parTrans" cxnId="{8D186EE5-94B6-482F-A161-DCABA0480E5B}">
      <dgm:prSet/>
      <dgm:spPr/>
      <dgm:t>
        <a:bodyPr/>
        <a:lstStyle/>
        <a:p>
          <a:endParaRPr lang="en-US"/>
        </a:p>
      </dgm:t>
    </dgm:pt>
    <dgm:pt modelId="{C9DD6D04-EC89-4842-B7CD-0695703139C9}" type="sibTrans" cxnId="{8D186EE5-94B6-482F-A161-DCABA0480E5B}">
      <dgm:prSet/>
      <dgm:spPr/>
      <dgm:t>
        <a:bodyPr/>
        <a:lstStyle/>
        <a:p>
          <a:endParaRPr lang="en-US"/>
        </a:p>
      </dgm:t>
    </dgm:pt>
    <dgm:pt modelId="{4E47CEB6-CACD-4553-8A4F-5FB346AC814A}">
      <dgm:prSet phldrT="[Text]"/>
      <dgm:spPr/>
      <dgm:t>
        <a:bodyPr/>
        <a:lstStyle/>
        <a:p>
          <a:r>
            <a:rPr lang="en-US"/>
            <a:t>Site Visit #2</a:t>
          </a:r>
        </a:p>
      </dgm:t>
    </dgm:pt>
    <dgm:pt modelId="{08D77BED-8B6A-4D24-B824-4399AFEFB595}" type="parTrans" cxnId="{75420650-F70B-4758-A7A0-CEA6B44F19DF}">
      <dgm:prSet/>
      <dgm:spPr/>
      <dgm:t>
        <a:bodyPr/>
        <a:lstStyle/>
        <a:p>
          <a:endParaRPr lang="en-US"/>
        </a:p>
      </dgm:t>
    </dgm:pt>
    <dgm:pt modelId="{043DD40A-DBED-4FD7-9050-B691C41E8CB8}" type="sibTrans" cxnId="{75420650-F70B-4758-A7A0-CEA6B44F19DF}">
      <dgm:prSet/>
      <dgm:spPr/>
      <dgm:t>
        <a:bodyPr/>
        <a:lstStyle/>
        <a:p>
          <a:endParaRPr lang="en-US"/>
        </a:p>
      </dgm:t>
    </dgm:pt>
    <dgm:pt modelId="{DDFCC247-4C4D-44DE-A489-21C95D2BCF2A}">
      <dgm:prSet/>
      <dgm:spPr/>
      <dgm:t>
        <a:bodyPr/>
        <a:lstStyle/>
        <a:p>
          <a:r>
            <a:rPr lang="en-US"/>
            <a:t>Summative Meeting &amp; Determination of Score</a:t>
          </a:r>
        </a:p>
      </dgm:t>
    </dgm:pt>
    <dgm:pt modelId="{C8520ECF-0509-4628-8737-7E4C3C7A8990}" type="parTrans" cxnId="{01734CAA-68D5-432A-8873-5B5660C68202}">
      <dgm:prSet/>
      <dgm:spPr/>
      <dgm:t>
        <a:bodyPr/>
        <a:lstStyle/>
        <a:p>
          <a:endParaRPr lang="en-US"/>
        </a:p>
      </dgm:t>
    </dgm:pt>
    <dgm:pt modelId="{4DE7C441-4768-40FE-A4AE-A19FF1EE7571}" type="sibTrans" cxnId="{01734CAA-68D5-432A-8873-5B5660C68202}">
      <dgm:prSet/>
      <dgm:spPr/>
      <dgm:t>
        <a:bodyPr/>
        <a:lstStyle/>
        <a:p>
          <a:endParaRPr lang="en-US"/>
        </a:p>
      </dgm:t>
    </dgm:pt>
    <dgm:pt modelId="{CA2FCEDE-7E6A-48CE-BC00-06A566606C56}" type="pres">
      <dgm:prSet presAssocID="{8361BC3A-7710-4AF1-AD66-1C35FB085E76}" presName="Name0" presStyleCnt="0">
        <dgm:presLayoutVars>
          <dgm:chMax val="1"/>
          <dgm:dir/>
          <dgm:animLvl val="ctr"/>
          <dgm:resizeHandles val="exact"/>
        </dgm:presLayoutVars>
      </dgm:prSet>
      <dgm:spPr/>
      <dgm:t>
        <a:bodyPr/>
        <a:lstStyle/>
        <a:p>
          <a:endParaRPr lang="en-US"/>
        </a:p>
      </dgm:t>
    </dgm:pt>
    <dgm:pt modelId="{7A671BB1-7D74-4383-9021-521985BCD69E}" type="pres">
      <dgm:prSet presAssocID="{6D5B587C-8B1E-4658-A93D-18E070BF4639}" presName="centerShape" presStyleLbl="node0" presStyleIdx="0" presStyleCnt="1"/>
      <dgm:spPr/>
      <dgm:t>
        <a:bodyPr/>
        <a:lstStyle/>
        <a:p>
          <a:endParaRPr lang="en-US"/>
        </a:p>
      </dgm:t>
    </dgm:pt>
    <dgm:pt modelId="{B72B9FC6-F96D-48AB-8069-04E60BA5FC4B}" type="pres">
      <dgm:prSet presAssocID="{6D71DB08-3025-403C-8B04-065634461AD0}" presName="node" presStyleLbl="node1" presStyleIdx="0" presStyleCnt="5">
        <dgm:presLayoutVars>
          <dgm:bulletEnabled val="1"/>
        </dgm:presLayoutVars>
      </dgm:prSet>
      <dgm:spPr/>
      <dgm:t>
        <a:bodyPr/>
        <a:lstStyle/>
        <a:p>
          <a:endParaRPr lang="en-US"/>
        </a:p>
      </dgm:t>
    </dgm:pt>
    <dgm:pt modelId="{DBD5B995-0607-4137-8073-CA3A78D08770}" type="pres">
      <dgm:prSet presAssocID="{6D71DB08-3025-403C-8B04-065634461AD0}" presName="dummy" presStyleCnt="0"/>
      <dgm:spPr/>
    </dgm:pt>
    <dgm:pt modelId="{9CA576C0-CF46-429E-8BEC-A457EC8E5CA0}" type="pres">
      <dgm:prSet presAssocID="{DFB8B5B8-6A5F-4F30-BC3A-BD36DF2FDFF2}" presName="sibTrans" presStyleLbl="sibTrans2D1" presStyleIdx="0" presStyleCnt="5"/>
      <dgm:spPr/>
      <dgm:t>
        <a:bodyPr/>
        <a:lstStyle/>
        <a:p>
          <a:endParaRPr lang="en-US"/>
        </a:p>
      </dgm:t>
    </dgm:pt>
    <dgm:pt modelId="{9AE4E45E-4BCA-4CAD-9CC9-4080E9B0EC3F}" type="pres">
      <dgm:prSet presAssocID="{82B3F49D-BA07-4F9F-AFA2-FE572E0B92B6}" presName="node" presStyleLbl="node1" presStyleIdx="1" presStyleCnt="5">
        <dgm:presLayoutVars>
          <dgm:bulletEnabled val="1"/>
        </dgm:presLayoutVars>
      </dgm:prSet>
      <dgm:spPr/>
      <dgm:t>
        <a:bodyPr/>
        <a:lstStyle/>
        <a:p>
          <a:endParaRPr lang="en-US"/>
        </a:p>
      </dgm:t>
    </dgm:pt>
    <dgm:pt modelId="{D66C89EF-0735-4576-98AB-681C2DE77E60}" type="pres">
      <dgm:prSet presAssocID="{82B3F49D-BA07-4F9F-AFA2-FE572E0B92B6}" presName="dummy" presStyleCnt="0"/>
      <dgm:spPr/>
    </dgm:pt>
    <dgm:pt modelId="{454C5D02-294E-498A-A47A-2E307AC94FE9}" type="pres">
      <dgm:prSet presAssocID="{AA4AB0A8-A90B-4449-88D5-DFE6B74EBB1E}" presName="sibTrans" presStyleLbl="sibTrans2D1" presStyleIdx="1" presStyleCnt="5"/>
      <dgm:spPr/>
      <dgm:t>
        <a:bodyPr/>
        <a:lstStyle/>
        <a:p>
          <a:endParaRPr lang="en-US"/>
        </a:p>
      </dgm:t>
    </dgm:pt>
    <dgm:pt modelId="{B177C4E0-EAB0-4A4F-878F-32D828F2E8A2}" type="pres">
      <dgm:prSet presAssocID="{FBC8A1DB-4E32-435A-8F9B-16BD9EA0AE33}" presName="node" presStyleLbl="node1" presStyleIdx="2" presStyleCnt="5">
        <dgm:presLayoutVars>
          <dgm:bulletEnabled val="1"/>
        </dgm:presLayoutVars>
      </dgm:prSet>
      <dgm:spPr/>
      <dgm:t>
        <a:bodyPr/>
        <a:lstStyle/>
        <a:p>
          <a:endParaRPr lang="en-US"/>
        </a:p>
      </dgm:t>
    </dgm:pt>
    <dgm:pt modelId="{C94F28D6-3A9C-4786-AA2E-CB48EA9AE503}" type="pres">
      <dgm:prSet presAssocID="{FBC8A1DB-4E32-435A-8F9B-16BD9EA0AE33}" presName="dummy" presStyleCnt="0"/>
      <dgm:spPr/>
    </dgm:pt>
    <dgm:pt modelId="{F275B195-ED93-4335-9BDB-48D3D2A5008D}" type="pres">
      <dgm:prSet presAssocID="{C9DD6D04-EC89-4842-B7CD-0695703139C9}" presName="sibTrans" presStyleLbl="sibTrans2D1" presStyleIdx="2" presStyleCnt="5"/>
      <dgm:spPr/>
      <dgm:t>
        <a:bodyPr/>
        <a:lstStyle/>
        <a:p>
          <a:endParaRPr lang="en-US"/>
        </a:p>
      </dgm:t>
    </dgm:pt>
    <dgm:pt modelId="{885E9E67-77F9-4624-9CC7-29457D65B87B}" type="pres">
      <dgm:prSet presAssocID="{4E47CEB6-CACD-4553-8A4F-5FB346AC814A}" presName="node" presStyleLbl="node1" presStyleIdx="3" presStyleCnt="5">
        <dgm:presLayoutVars>
          <dgm:bulletEnabled val="1"/>
        </dgm:presLayoutVars>
      </dgm:prSet>
      <dgm:spPr/>
      <dgm:t>
        <a:bodyPr/>
        <a:lstStyle/>
        <a:p>
          <a:endParaRPr lang="en-US"/>
        </a:p>
      </dgm:t>
    </dgm:pt>
    <dgm:pt modelId="{FBE73197-47C5-447F-9335-2599DF100E80}" type="pres">
      <dgm:prSet presAssocID="{4E47CEB6-CACD-4553-8A4F-5FB346AC814A}" presName="dummy" presStyleCnt="0"/>
      <dgm:spPr/>
    </dgm:pt>
    <dgm:pt modelId="{4E898B5C-3C02-4E0D-9D0B-FA5E4CFEA7DE}" type="pres">
      <dgm:prSet presAssocID="{043DD40A-DBED-4FD7-9050-B691C41E8CB8}" presName="sibTrans" presStyleLbl="sibTrans2D1" presStyleIdx="3" presStyleCnt="5"/>
      <dgm:spPr/>
      <dgm:t>
        <a:bodyPr/>
        <a:lstStyle/>
        <a:p>
          <a:endParaRPr lang="en-US"/>
        </a:p>
      </dgm:t>
    </dgm:pt>
    <dgm:pt modelId="{E6B07935-CF46-4B29-8899-D45F09F0BEBB}" type="pres">
      <dgm:prSet presAssocID="{DDFCC247-4C4D-44DE-A489-21C95D2BCF2A}" presName="node" presStyleLbl="node1" presStyleIdx="4" presStyleCnt="5">
        <dgm:presLayoutVars>
          <dgm:bulletEnabled val="1"/>
        </dgm:presLayoutVars>
      </dgm:prSet>
      <dgm:spPr/>
      <dgm:t>
        <a:bodyPr/>
        <a:lstStyle/>
        <a:p>
          <a:endParaRPr lang="en-US"/>
        </a:p>
      </dgm:t>
    </dgm:pt>
    <dgm:pt modelId="{7C21C940-59A3-4C08-990D-64EA6FB20A08}" type="pres">
      <dgm:prSet presAssocID="{DDFCC247-4C4D-44DE-A489-21C95D2BCF2A}" presName="dummy" presStyleCnt="0"/>
      <dgm:spPr/>
    </dgm:pt>
    <dgm:pt modelId="{05C721E7-5CFF-419B-A365-8A0334AC7532}" type="pres">
      <dgm:prSet presAssocID="{4DE7C441-4768-40FE-A4AE-A19FF1EE7571}" presName="sibTrans" presStyleLbl="sibTrans2D1" presStyleIdx="4" presStyleCnt="5"/>
      <dgm:spPr/>
      <dgm:t>
        <a:bodyPr/>
        <a:lstStyle/>
        <a:p>
          <a:endParaRPr lang="en-US"/>
        </a:p>
      </dgm:t>
    </dgm:pt>
  </dgm:ptLst>
  <dgm:cxnLst>
    <dgm:cxn modelId="{06358FD1-66DF-4548-AF08-59D4790AB0D8}" type="presOf" srcId="{4DE7C441-4768-40FE-A4AE-A19FF1EE7571}" destId="{05C721E7-5CFF-419B-A365-8A0334AC7532}" srcOrd="0" destOrd="0" presId="urn:microsoft.com/office/officeart/2005/8/layout/radial6"/>
    <dgm:cxn modelId="{54287A1D-6CF2-40A9-A12D-B76AD3B867E3}" type="presOf" srcId="{6D71DB08-3025-403C-8B04-065634461AD0}" destId="{B72B9FC6-F96D-48AB-8069-04E60BA5FC4B}" srcOrd="0" destOrd="0" presId="urn:microsoft.com/office/officeart/2005/8/layout/radial6"/>
    <dgm:cxn modelId="{6B67861F-8071-4D8B-BB32-51AA30E56CDD}" srcId="{8361BC3A-7710-4AF1-AD66-1C35FB085E76}" destId="{6D5B587C-8B1E-4658-A93D-18E070BF4639}" srcOrd="0" destOrd="0" parTransId="{D807378B-5681-4B7F-99B6-3DF1FD5F7C87}" sibTransId="{8A153B47-B655-4493-88D8-781A5B671ACE}"/>
    <dgm:cxn modelId="{F4C23A8C-B078-4295-B57B-2FA44B81928A}" srcId="{6D5B587C-8B1E-4658-A93D-18E070BF4639}" destId="{6D71DB08-3025-403C-8B04-065634461AD0}" srcOrd="0" destOrd="0" parTransId="{50823CDE-2C09-4B90-94B8-5499B4573EC8}" sibTransId="{DFB8B5B8-6A5F-4F30-BC3A-BD36DF2FDFF2}"/>
    <dgm:cxn modelId="{8D186EE5-94B6-482F-A161-DCABA0480E5B}" srcId="{6D5B587C-8B1E-4658-A93D-18E070BF4639}" destId="{FBC8A1DB-4E32-435A-8F9B-16BD9EA0AE33}" srcOrd="2" destOrd="0" parTransId="{F2F01E35-E394-40C4-9EA1-FC7130BE304D}" sibTransId="{C9DD6D04-EC89-4842-B7CD-0695703139C9}"/>
    <dgm:cxn modelId="{50D820C3-E050-4EBD-A995-819D2B737FFB}" type="presOf" srcId="{DDFCC247-4C4D-44DE-A489-21C95D2BCF2A}" destId="{E6B07935-CF46-4B29-8899-D45F09F0BEBB}" srcOrd="0" destOrd="0" presId="urn:microsoft.com/office/officeart/2005/8/layout/radial6"/>
    <dgm:cxn modelId="{5AE700EE-399A-4B86-ACA4-0E6C2DCF512D}" type="presOf" srcId="{4E47CEB6-CACD-4553-8A4F-5FB346AC814A}" destId="{885E9E67-77F9-4624-9CC7-29457D65B87B}" srcOrd="0" destOrd="0" presId="urn:microsoft.com/office/officeart/2005/8/layout/radial6"/>
    <dgm:cxn modelId="{26058D99-80F9-4880-A6F5-E9D56722E862}" srcId="{6D5B587C-8B1E-4658-A93D-18E070BF4639}" destId="{82B3F49D-BA07-4F9F-AFA2-FE572E0B92B6}" srcOrd="1" destOrd="0" parTransId="{3AEAA637-CDB1-4DEA-B729-79BCA31E7AB6}" sibTransId="{AA4AB0A8-A90B-4449-88D5-DFE6B74EBB1E}"/>
    <dgm:cxn modelId="{570A23B8-B21E-42CF-AC32-10CF7783C547}" type="presOf" srcId="{8361BC3A-7710-4AF1-AD66-1C35FB085E76}" destId="{CA2FCEDE-7E6A-48CE-BC00-06A566606C56}" srcOrd="0" destOrd="0" presId="urn:microsoft.com/office/officeart/2005/8/layout/radial6"/>
    <dgm:cxn modelId="{9DE5F7D1-0DBB-4293-8D90-62D48026383B}" type="presOf" srcId="{6D5B587C-8B1E-4658-A93D-18E070BF4639}" destId="{7A671BB1-7D74-4383-9021-521985BCD69E}" srcOrd="0" destOrd="0" presId="urn:microsoft.com/office/officeart/2005/8/layout/radial6"/>
    <dgm:cxn modelId="{C812A573-89E0-4796-A3C2-7080D4472B1A}" type="presOf" srcId="{043DD40A-DBED-4FD7-9050-B691C41E8CB8}" destId="{4E898B5C-3C02-4E0D-9D0B-FA5E4CFEA7DE}" srcOrd="0" destOrd="0" presId="urn:microsoft.com/office/officeart/2005/8/layout/radial6"/>
    <dgm:cxn modelId="{7B5C6848-2E46-4D47-87B6-2CDCE51E1404}" type="presOf" srcId="{AA4AB0A8-A90B-4449-88D5-DFE6B74EBB1E}" destId="{454C5D02-294E-498A-A47A-2E307AC94FE9}" srcOrd="0" destOrd="0" presId="urn:microsoft.com/office/officeart/2005/8/layout/radial6"/>
    <dgm:cxn modelId="{CE8E02F9-AEC7-4642-BC83-0B9A5BA0B0B7}" type="presOf" srcId="{FBC8A1DB-4E32-435A-8F9B-16BD9EA0AE33}" destId="{B177C4E0-EAB0-4A4F-878F-32D828F2E8A2}" srcOrd="0" destOrd="0" presId="urn:microsoft.com/office/officeart/2005/8/layout/radial6"/>
    <dgm:cxn modelId="{5740EF56-6643-4AE0-9C7F-951ADE5FF1D9}" type="presOf" srcId="{DFB8B5B8-6A5F-4F30-BC3A-BD36DF2FDFF2}" destId="{9CA576C0-CF46-429E-8BEC-A457EC8E5CA0}" srcOrd="0" destOrd="0" presId="urn:microsoft.com/office/officeart/2005/8/layout/radial6"/>
    <dgm:cxn modelId="{28A74E62-3E7C-4BAB-B8B3-C72BF64E2FA3}" type="presOf" srcId="{82B3F49D-BA07-4F9F-AFA2-FE572E0B92B6}" destId="{9AE4E45E-4BCA-4CAD-9CC9-4080E9B0EC3F}" srcOrd="0" destOrd="0" presId="urn:microsoft.com/office/officeart/2005/8/layout/radial6"/>
    <dgm:cxn modelId="{E390BCBE-C291-4C6A-A520-E98E3D548CE2}" type="presOf" srcId="{C9DD6D04-EC89-4842-B7CD-0695703139C9}" destId="{F275B195-ED93-4335-9BDB-48D3D2A5008D}" srcOrd="0" destOrd="0" presId="urn:microsoft.com/office/officeart/2005/8/layout/radial6"/>
    <dgm:cxn modelId="{01734CAA-68D5-432A-8873-5B5660C68202}" srcId="{6D5B587C-8B1E-4658-A93D-18E070BF4639}" destId="{DDFCC247-4C4D-44DE-A489-21C95D2BCF2A}" srcOrd="4" destOrd="0" parTransId="{C8520ECF-0509-4628-8737-7E4C3C7A8990}" sibTransId="{4DE7C441-4768-40FE-A4AE-A19FF1EE7571}"/>
    <dgm:cxn modelId="{75420650-F70B-4758-A7A0-CEA6B44F19DF}" srcId="{6D5B587C-8B1E-4658-A93D-18E070BF4639}" destId="{4E47CEB6-CACD-4553-8A4F-5FB346AC814A}" srcOrd="3" destOrd="0" parTransId="{08D77BED-8B6A-4D24-B824-4399AFEFB595}" sibTransId="{043DD40A-DBED-4FD7-9050-B691C41E8CB8}"/>
    <dgm:cxn modelId="{D25A77EF-D4C2-4A56-B6BA-E3211DC2E0FA}" type="presParOf" srcId="{CA2FCEDE-7E6A-48CE-BC00-06A566606C56}" destId="{7A671BB1-7D74-4383-9021-521985BCD69E}" srcOrd="0" destOrd="0" presId="urn:microsoft.com/office/officeart/2005/8/layout/radial6"/>
    <dgm:cxn modelId="{4D4E84D6-B5FC-4511-ABA0-51F26ABF5FE1}" type="presParOf" srcId="{CA2FCEDE-7E6A-48CE-BC00-06A566606C56}" destId="{B72B9FC6-F96D-48AB-8069-04E60BA5FC4B}" srcOrd="1" destOrd="0" presId="urn:microsoft.com/office/officeart/2005/8/layout/radial6"/>
    <dgm:cxn modelId="{172E2550-959B-4CE3-BECF-BBB1874D0C5D}" type="presParOf" srcId="{CA2FCEDE-7E6A-48CE-BC00-06A566606C56}" destId="{DBD5B995-0607-4137-8073-CA3A78D08770}" srcOrd="2" destOrd="0" presId="urn:microsoft.com/office/officeart/2005/8/layout/radial6"/>
    <dgm:cxn modelId="{2CC9C9DD-929B-49A0-8487-A6E75490E218}" type="presParOf" srcId="{CA2FCEDE-7E6A-48CE-BC00-06A566606C56}" destId="{9CA576C0-CF46-429E-8BEC-A457EC8E5CA0}" srcOrd="3" destOrd="0" presId="urn:microsoft.com/office/officeart/2005/8/layout/radial6"/>
    <dgm:cxn modelId="{3AC51128-99A2-4BE5-8D92-3BC58D8A7D2A}" type="presParOf" srcId="{CA2FCEDE-7E6A-48CE-BC00-06A566606C56}" destId="{9AE4E45E-4BCA-4CAD-9CC9-4080E9B0EC3F}" srcOrd="4" destOrd="0" presId="urn:microsoft.com/office/officeart/2005/8/layout/radial6"/>
    <dgm:cxn modelId="{06212E6B-B1C9-4289-ACA2-A09F88A3E4C3}" type="presParOf" srcId="{CA2FCEDE-7E6A-48CE-BC00-06A566606C56}" destId="{D66C89EF-0735-4576-98AB-681C2DE77E60}" srcOrd="5" destOrd="0" presId="urn:microsoft.com/office/officeart/2005/8/layout/radial6"/>
    <dgm:cxn modelId="{68C65406-32E4-489A-9B67-78DB93806ED4}" type="presParOf" srcId="{CA2FCEDE-7E6A-48CE-BC00-06A566606C56}" destId="{454C5D02-294E-498A-A47A-2E307AC94FE9}" srcOrd="6" destOrd="0" presId="urn:microsoft.com/office/officeart/2005/8/layout/radial6"/>
    <dgm:cxn modelId="{6722172F-20D4-40D8-BEFB-B0BC71D94D4F}" type="presParOf" srcId="{CA2FCEDE-7E6A-48CE-BC00-06A566606C56}" destId="{B177C4E0-EAB0-4A4F-878F-32D828F2E8A2}" srcOrd="7" destOrd="0" presId="urn:microsoft.com/office/officeart/2005/8/layout/radial6"/>
    <dgm:cxn modelId="{E7B84E43-03F5-4CC3-BF32-EA77B3B99B8D}" type="presParOf" srcId="{CA2FCEDE-7E6A-48CE-BC00-06A566606C56}" destId="{C94F28D6-3A9C-4786-AA2E-CB48EA9AE503}" srcOrd="8" destOrd="0" presId="urn:microsoft.com/office/officeart/2005/8/layout/radial6"/>
    <dgm:cxn modelId="{ED8091BC-5F21-44F5-9799-2BF7BA546211}" type="presParOf" srcId="{CA2FCEDE-7E6A-48CE-BC00-06A566606C56}" destId="{F275B195-ED93-4335-9BDB-48D3D2A5008D}" srcOrd="9" destOrd="0" presId="urn:microsoft.com/office/officeart/2005/8/layout/radial6"/>
    <dgm:cxn modelId="{4976A48E-4584-46ED-BFC5-B8AF8243BC95}" type="presParOf" srcId="{CA2FCEDE-7E6A-48CE-BC00-06A566606C56}" destId="{885E9E67-77F9-4624-9CC7-29457D65B87B}" srcOrd="10" destOrd="0" presId="urn:microsoft.com/office/officeart/2005/8/layout/radial6"/>
    <dgm:cxn modelId="{E0FA312A-7FDC-420F-BEC7-5936FEA40B4B}" type="presParOf" srcId="{CA2FCEDE-7E6A-48CE-BC00-06A566606C56}" destId="{FBE73197-47C5-447F-9335-2599DF100E80}" srcOrd="11" destOrd="0" presId="urn:microsoft.com/office/officeart/2005/8/layout/radial6"/>
    <dgm:cxn modelId="{F4FACD57-2B0A-44D4-AC17-0FEA43735BF2}" type="presParOf" srcId="{CA2FCEDE-7E6A-48CE-BC00-06A566606C56}" destId="{4E898B5C-3C02-4E0D-9D0B-FA5E4CFEA7DE}" srcOrd="12" destOrd="0" presId="urn:microsoft.com/office/officeart/2005/8/layout/radial6"/>
    <dgm:cxn modelId="{566CCA52-6FEA-4A8B-A074-F75053D78D84}" type="presParOf" srcId="{CA2FCEDE-7E6A-48CE-BC00-06A566606C56}" destId="{E6B07935-CF46-4B29-8899-D45F09F0BEBB}" srcOrd="13" destOrd="0" presId="urn:microsoft.com/office/officeart/2005/8/layout/radial6"/>
    <dgm:cxn modelId="{007C8349-79CB-4BC4-9D09-795236D84FAE}" type="presParOf" srcId="{CA2FCEDE-7E6A-48CE-BC00-06A566606C56}" destId="{7C21C940-59A3-4C08-990D-64EA6FB20A08}" srcOrd="14" destOrd="0" presId="urn:microsoft.com/office/officeart/2005/8/layout/radial6"/>
    <dgm:cxn modelId="{9CF9734E-E06A-4692-8362-6DDD6F830EEA}" type="presParOf" srcId="{CA2FCEDE-7E6A-48CE-BC00-06A566606C56}" destId="{05C721E7-5CFF-419B-A365-8A0334AC7532}" srcOrd="15"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C721E7-5CFF-419B-A365-8A0334AC7532}">
      <dsp:nvSpPr>
        <dsp:cNvPr id="0" name=""/>
        <dsp:cNvSpPr/>
      </dsp:nvSpPr>
      <dsp:spPr>
        <a:xfrm>
          <a:off x="1418375" y="603812"/>
          <a:ext cx="4027187" cy="4027187"/>
        </a:xfrm>
        <a:prstGeom prst="blockArc">
          <a:avLst>
            <a:gd name="adj1" fmla="val 11880000"/>
            <a:gd name="adj2" fmla="val 1620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E898B5C-3C02-4E0D-9D0B-FA5E4CFEA7DE}">
      <dsp:nvSpPr>
        <dsp:cNvPr id="0" name=""/>
        <dsp:cNvSpPr/>
      </dsp:nvSpPr>
      <dsp:spPr>
        <a:xfrm>
          <a:off x="1418375" y="603812"/>
          <a:ext cx="4027187" cy="4027187"/>
        </a:xfrm>
        <a:prstGeom prst="blockArc">
          <a:avLst>
            <a:gd name="adj1" fmla="val 7560000"/>
            <a:gd name="adj2" fmla="val 1188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275B195-ED93-4335-9BDB-48D3D2A5008D}">
      <dsp:nvSpPr>
        <dsp:cNvPr id="0" name=""/>
        <dsp:cNvSpPr/>
      </dsp:nvSpPr>
      <dsp:spPr>
        <a:xfrm>
          <a:off x="1418375" y="603812"/>
          <a:ext cx="4027187" cy="4027187"/>
        </a:xfrm>
        <a:prstGeom prst="blockArc">
          <a:avLst>
            <a:gd name="adj1" fmla="val 3240000"/>
            <a:gd name="adj2" fmla="val 756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54C5D02-294E-498A-A47A-2E307AC94FE9}">
      <dsp:nvSpPr>
        <dsp:cNvPr id="0" name=""/>
        <dsp:cNvSpPr/>
      </dsp:nvSpPr>
      <dsp:spPr>
        <a:xfrm>
          <a:off x="1418375" y="603812"/>
          <a:ext cx="4027187" cy="4027187"/>
        </a:xfrm>
        <a:prstGeom prst="blockArc">
          <a:avLst>
            <a:gd name="adj1" fmla="val 20520000"/>
            <a:gd name="adj2" fmla="val 324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CA576C0-CF46-429E-8BEC-A457EC8E5CA0}">
      <dsp:nvSpPr>
        <dsp:cNvPr id="0" name=""/>
        <dsp:cNvSpPr/>
      </dsp:nvSpPr>
      <dsp:spPr>
        <a:xfrm>
          <a:off x="1418375" y="603812"/>
          <a:ext cx="4027187" cy="4027187"/>
        </a:xfrm>
        <a:prstGeom prst="blockArc">
          <a:avLst>
            <a:gd name="adj1" fmla="val 16200000"/>
            <a:gd name="adj2" fmla="val 20520000"/>
            <a:gd name="adj3" fmla="val 4639"/>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671BB1-7D74-4383-9021-521985BCD69E}">
      <dsp:nvSpPr>
        <dsp:cNvPr id="0" name=""/>
        <dsp:cNvSpPr/>
      </dsp:nvSpPr>
      <dsp:spPr>
        <a:xfrm>
          <a:off x="2505270" y="1690707"/>
          <a:ext cx="1853397" cy="185339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977900">
            <a:lnSpc>
              <a:spcPct val="90000"/>
            </a:lnSpc>
            <a:spcBef>
              <a:spcPct val="0"/>
            </a:spcBef>
            <a:spcAft>
              <a:spcPct val="35000"/>
            </a:spcAft>
          </a:pPr>
          <a:r>
            <a:rPr lang="en-US" sz="2200" kern="1200"/>
            <a:t>Other Effective Measures (60 points)</a:t>
          </a:r>
        </a:p>
      </dsp:txBody>
      <dsp:txXfrm>
        <a:off x="2776694" y="1962131"/>
        <a:ext cx="1310549" cy="1310549"/>
      </dsp:txXfrm>
    </dsp:sp>
    <dsp:sp modelId="{B72B9FC6-F96D-48AB-8069-04E60BA5FC4B}">
      <dsp:nvSpPr>
        <dsp:cNvPr id="0" name=""/>
        <dsp:cNvSpPr/>
      </dsp:nvSpPr>
      <dsp:spPr>
        <a:xfrm>
          <a:off x="2783279" y="1829"/>
          <a:ext cx="1297378" cy="12973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Goal Setting</a:t>
          </a:r>
        </a:p>
      </dsp:txBody>
      <dsp:txXfrm>
        <a:off x="2973276" y="191826"/>
        <a:ext cx="917384" cy="917384"/>
      </dsp:txXfrm>
    </dsp:sp>
    <dsp:sp modelId="{9AE4E45E-4BCA-4CAD-9CC9-4080E9B0EC3F}">
      <dsp:nvSpPr>
        <dsp:cNvPr id="0" name=""/>
        <dsp:cNvSpPr/>
      </dsp:nvSpPr>
      <dsp:spPr>
        <a:xfrm>
          <a:off x="4653901" y="1360915"/>
          <a:ext cx="1297378" cy="12973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Site Visit #1</a:t>
          </a:r>
        </a:p>
      </dsp:txBody>
      <dsp:txXfrm>
        <a:off x="4843898" y="1550912"/>
        <a:ext cx="917384" cy="917384"/>
      </dsp:txXfrm>
    </dsp:sp>
    <dsp:sp modelId="{B177C4E0-EAB0-4A4F-878F-32D828F2E8A2}">
      <dsp:nvSpPr>
        <dsp:cNvPr id="0" name=""/>
        <dsp:cNvSpPr/>
      </dsp:nvSpPr>
      <dsp:spPr>
        <a:xfrm>
          <a:off x="3939387" y="3559963"/>
          <a:ext cx="1297378" cy="12973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Formative Mid-Year Meeting</a:t>
          </a:r>
        </a:p>
      </dsp:txBody>
      <dsp:txXfrm>
        <a:off x="4129384" y="3749960"/>
        <a:ext cx="917384" cy="917384"/>
      </dsp:txXfrm>
    </dsp:sp>
    <dsp:sp modelId="{885E9E67-77F9-4624-9CC7-29457D65B87B}">
      <dsp:nvSpPr>
        <dsp:cNvPr id="0" name=""/>
        <dsp:cNvSpPr/>
      </dsp:nvSpPr>
      <dsp:spPr>
        <a:xfrm>
          <a:off x="1627172" y="3559963"/>
          <a:ext cx="1297378" cy="12973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Site Visit #2</a:t>
          </a:r>
        </a:p>
      </dsp:txBody>
      <dsp:txXfrm>
        <a:off x="1817169" y="3749960"/>
        <a:ext cx="917384" cy="917384"/>
      </dsp:txXfrm>
    </dsp:sp>
    <dsp:sp modelId="{E6B07935-CF46-4B29-8899-D45F09F0BEBB}">
      <dsp:nvSpPr>
        <dsp:cNvPr id="0" name=""/>
        <dsp:cNvSpPr/>
      </dsp:nvSpPr>
      <dsp:spPr>
        <a:xfrm>
          <a:off x="912658" y="1360915"/>
          <a:ext cx="1297378" cy="129737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Summative Meeting &amp; Determination of Score</a:t>
          </a:r>
        </a:p>
      </dsp:txBody>
      <dsp:txXfrm>
        <a:off x="1102655" y="1550912"/>
        <a:ext cx="917384" cy="9173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Erie-2 BOCES</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Erie-2 BOCES</dc:creator>
  <cp:lastModifiedBy>Theresa Gray</cp:lastModifiedBy>
  <cp:revision>8</cp:revision>
  <dcterms:created xsi:type="dcterms:W3CDTF">2011-08-18T00:27:00Z</dcterms:created>
  <dcterms:modified xsi:type="dcterms:W3CDTF">2011-08-19T15:12:00Z</dcterms:modified>
</cp:coreProperties>
</file>